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976"/>
        <w:tblW w:w="4503" w:type="dxa"/>
        <w:tblLayout w:type="fixed"/>
        <w:tblLook w:val="0000" w:firstRow="0" w:lastRow="0" w:firstColumn="0" w:lastColumn="0" w:noHBand="0" w:noVBand="0"/>
      </w:tblPr>
      <w:tblGrid>
        <w:gridCol w:w="4503"/>
      </w:tblGrid>
      <w:tr w:rsidR="00FD048C" w14:paraId="1316F81D" w14:textId="77777777">
        <w:trPr>
          <w:trHeight w:val="601"/>
        </w:trPr>
        <w:tc>
          <w:tcPr>
            <w:tcW w:w="4503" w:type="dxa"/>
            <w:vAlign w:val="center"/>
          </w:tcPr>
          <w:p w14:paraId="20D9BD4E" w14:textId="77777777" w:rsidR="00FD048C" w:rsidRDefault="005B3E39">
            <w:pPr>
              <w:tabs>
                <w:tab w:val="left" w:pos="3969"/>
                <w:tab w:val="left" w:pos="4104"/>
              </w:tabs>
              <w:ind w:left="142" w:right="135" w:firstLine="567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БЕ: 2050; </w:t>
            </w:r>
          </w:p>
          <w:p w14:paraId="5C402AC8" w14:textId="77777777" w:rsidR="00FD048C" w:rsidRDefault="005B3E39">
            <w:pPr>
              <w:tabs>
                <w:tab w:val="left" w:pos="3969"/>
                <w:tab w:val="left" w:pos="4104"/>
              </w:tabs>
              <w:ind w:left="142" w:right="135" w:firstLine="567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  <w:lang w:val="en-US"/>
              </w:rPr>
              <w:t>ID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  <w:r>
              <w:rPr>
                <w:b/>
                <w:u w:val="single"/>
              </w:rPr>
              <w:t xml:space="preserve">083-0019097 </w:t>
            </w:r>
            <w:r>
              <w:t xml:space="preserve">  </w:t>
            </w:r>
          </w:p>
          <w:p w14:paraId="24B62582" w14:textId="77777777" w:rsidR="00FD048C" w:rsidRDefault="00FD048C">
            <w:pPr>
              <w:ind w:left="142" w:right="141" w:firstLine="567"/>
              <w:jc w:val="center"/>
              <w:rPr>
                <w:b/>
              </w:rPr>
            </w:pPr>
          </w:p>
          <w:p w14:paraId="7AC9A073" w14:textId="77777777" w:rsidR="00FD048C" w:rsidRDefault="00FD048C">
            <w:pPr>
              <w:ind w:left="142" w:right="141" w:firstLine="709"/>
              <w:rPr>
                <w:b/>
                <w:bCs/>
              </w:rPr>
            </w:pPr>
          </w:p>
          <w:p w14:paraId="241D4CC5" w14:textId="77777777" w:rsidR="00FD048C" w:rsidRDefault="005B3E39">
            <w:pPr>
              <w:ind w:left="142" w:right="141" w:firstLine="709"/>
              <w:rPr>
                <w:b/>
                <w:bCs/>
              </w:rPr>
            </w:pPr>
            <w:r>
              <w:rPr>
                <w:b/>
              </w:rPr>
              <w:t>УТВЕРЖДАЮ</w:t>
            </w:r>
          </w:p>
        </w:tc>
      </w:tr>
      <w:tr w:rsidR="00FD048C" w14:paraId="01A353E5" w14:textId="77777777">
        <w:trPr>
          <w:trHeight w:val="601"/>
        </w:trPr>
        <w:tc>
          <w:tcPr>
            <w:tcW w:w="4503" w:type="dxa"/>
            <w:vAlign w:val="center"/>
          </w:tcPr>
          <w:p w14:paraId="73391C24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>Заместитель директора -</w:t>
            </w:r>
          </w:p>
          <w:p w14:paraId="70F98657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>Главный инженер филиала</w:t>
            </w:r>
          </w:p>
          <w:p w14:paraId="2FA39BC9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 xml:space="preserve"> ПАО «Россети Московский регион»          </w:t>
            </w:r>
          </w:p>
          <w:p w14:paraId="329C4251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 xml:space="preserve"> Западные электрические сети               </w:t>
            </w:r>
          </w:p>
          <w:p w14:paraId="2FA8DE2A" w14:textId="77777777" w:rsidR="00FD048C" w:rsidRDefault="00FD048C">
            <w:pPr>
              <w:ind w:left="142" w:right="141"/>
              <w:rPr>
                <w:b/>
              </w:rPr>
            </w:pPr>
          </w:p>
          <w:p w14:paraId="7C5FC8B2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>_______________ А.Ю. Мартихин</w:t>
            </w:r>
          </w:p>
        </w:tc>
      </w:tr>
      <w:tr w:rsidR="00FD048C" w14:paraId="42CE7458" w14:textId="77777777">
        <w:trPr>
          <w:trHeight w:val="690"/>
        </w:trPr>
        <w:tc>
          <w:tcPr>
            <w:tcW w:w="4503" w:type="dxa"/>
            <w:vAlign w:val="center"/>
          </w:tcPr>
          <w:p w14:paraId="71D63C26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>«____»___________2025 г.</w:t>
            </w:r>
          </w:p>
        </w:tc>
      </w:tr>
    </w:tbl>
    <w:p w14:paraId="055220A0" w14:textId="77777777" w:rsidR="00FD048C" w:rsidRDefault="00FD048C">
      <w:pPr>
        <w:rPr>
          <w:u w:val="single"/>
        </w:rPr>
      </w:pPr>
    </w:p>
    <w:tbl>
      <w:tblPr>
        <w:tblpPr w:leftFromText="180" w:rightFromText="180" w:vertAnchor="text" w:horzAnchor="margin" w:tblpY="-241"/>
        <w:tblW w:w="4786" w:type="dxa"/>
        <w:tblLayout w:type="fixed"/>
        <w:tblLook w:val="0000" w:firstRow="0" w:lastRow="0" w:firstColumn="0" w:lastColumn="0" w:noHBand="0" w:noVBand="0"/>
      </w:tblPr>
      <w:tblGrid>
        <w:gridCol w:w="4786"/>
      </w:tblGrid>
      <w:tr w:rsidR="00FD048C" w14:paraId="03A5ECC1" w14:textId="77777777">
        <w:trPr>
          <w:trHeight w:val="601"/>
        </w:trPr>
        <w:tc>
          <w:tcPr>
            <w:tcW w:w="4786" w:type="dxa"/>
            <w:vAlign w:val="center"/>
          </w:tcPr>
          <w:p w14:paraId="3ABA46A2" w14:textId="77777777" w:rsidR="00FD048C" w:rsidRDefault="00FD048C">
            <w:pPr>
              <w:ind w:left="142" w:right="141"/>
            </w:pPr>
          </w:p>
          <w:p w14:paraId="17348AA6" w14:textId="77777777" w:rsidR="00FD048C" w:rsidRDefault="005B3E39">
            <w:pPr>
              <w:ind w:left="142" w:right="141"/>
              <w:rPr>
                <w:b/>
              </w:rPr>
            </w:pPr>
            <w:r>
              <w:t xml:space="preserve">Статья сметы затрат: </w:t>
            </w:r>
            <w:r>
              <w:rPr>
                <w:b/>
              </w:rPr>
              <w:t xml:space="preserve">                                                                                                </w:t>
            </w:r>
            <w:r>
              <w:rPr>
                <w:b/>
              </w:rPr>
              <w:br/>
            </w:r>
            <w:r>
              <w:rPr>
                <w:i/>
                <w:u w:val="single"/>
              </w:rPr>
              <w:t xml:space="preserve">Ремонт   </w:t>
            </w:r>
            <w:r>
              <w:rPr>
                <w:u w:val="single"/>
              </w:rPr>
              <w:t xml:space="preserve">   </w:t>
            </w:r>
            <w:r>
              <w:rPr>
                <w:b/>
              </w:rPr>
              <w:t xml:space="preserve">     </w:t>
            </w:r>
          </w:p>
          <w:p w14:paraId="55B7B4F5" w14:textId="77777777" w:rsidR="00FD048C" w:rsidRDefault="005B3E39">
            <w:pPr>
              <w:ind w:left="142" w:right="141" w:firstLine="567"/>
            </w:pPr>
            <w:r>
              <w:rPr>
                <w:b/>
              </w:rPr>
              <w:t xml:space="preserve">«СОГЛАСОВАНО»:                           </w:t>
            </w:r>
          </w:p>
        </w:tc>
      </w:tr>
      <w:tr w:rsidR="00FD048C" w14:paraId="557A0714" w14:textId="77777777">
        <w:trPr>
          <w:trHeight w:val="601"/>
        </w:trPr>
        <w:tc>
          <w:tcPr>
            <w:tcW w:w="4786" w:type="dxa"/>
            <w:vAlign w:val="center"/>
          </w:tcPr>
          <w:p w14:paraId="0F78621C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 xml:space="preserve">Начальник финансово-экономического управления филиала ПАО «Россети Московский регион»          </w:t>
            </w:r>
          </w:p>
          <w:p w14:paraId="18589647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 xml:space="preserve">Западные электрические сети  </w:t>
            </w:r>
          </w:p>
          <w:p w14:paraId="1989EDEC" w14:textId="77777777" w:rsidR="00FD048C" w:rsidRDefault="00FD048C">
            <w:pPr>
              <w:ind w:left="142" w:right="141"/>
              <w:rPr>
                <w:b/>
              </w:rPr>
            </w:pPr>
          </w:p>
          <w:p w14:paraId="5B793F30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>_________________А.С. Жириков</w:t>
            </w:r>
          </w:p>
        </w:tc>
      </w:tr>
      <w:tr w:rsidR="00FD048C" w14:paraId="367EF76E" w14:textId="77777777">
        <w:trPr>
          <w:trHeight w:val="690"/>
        </w:trPr>
        <w:tc>
          <w:tcPr>
            <w:tcW w:w="4786" w:type="dxa"/>
            <w:vAlign w:val="center"/>
          </w:tcPr>
          <w:p w14:paraId="456E60A8" w14:textId="77777777" w:rsidR="00FD048C" w:rsidRDefault="005B3E39">
            <w:pPr>
              <w:ind w:left="142" w:right="141"/>
              <w:rPr>
                <w:b/>
              </w:rPr>
            </w:pPr>
            <w:r>
              <w:rPr>
                <w:b/>
              </w:rPr>
              <w:t>«____»___________2025 г.</w:t>
            </w:r>
          </w:p>
        </w:tc>
      </w:tr>
    </w:tbl>
    <w:p w14:paraId="3FE70E1A" w14:textId="77777777" w:rsidR="00FD048C" w:rsidRDefault="00FD048C">
      <w:pPr>
        <w:rPr>
          <w:vanish/>
        </w:rPr>
      </w:pPr>
    </w:p>
    <w:p w14:paraId="1E14DECD" w14:textId="77777777" w:rsidR="00FD048C" w:rsidRDefault="00FD048C">
      <w:pPr>
        <w:ind w:right="141"/>
        <w:jc w:val="both"/>
      </w:pPr>
    </w:p>
    <w:p w14:paraId="21B432C5" w14:textId="77777777" w:rsidR="00FD048C" w:rsidRDefault="00FD048C">
      <w:pPr>
        <w:ind w:left="142" w:right="141" w:firstLine="567"/>
        <w:jc w:val="both"/>
      </w:pPr>
    </w:p>
    <w:p w14:paraId="190C704F" w14:textId="77777777" w:rsidR="00FD048C" w:rsidRDefault="005B3E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0D3D37C8" w14:textId="77777777" w:rsidR="00FD048C" w:rsidRDefault="00FD048C">
      <w:pPr>
        <w:jc w:val="center"/>
        <w:rPr>
          <w:b/>
          <w:sz w:val="28"/>
          <w:szCs w:val="28"/>
        </w:rPr>
      </w:pPr>
    </w:p>
    <w:tbl>
      <w:tblPr>
        <w:tblW w:w="9800" w:type="dxa"/>
        <w:tblInd w:w="96" w:type="dxa"/>
        <w:tblLook w:val="0000" w:firstRow="0" w:lastRow="0" w:firstColumn="0" w:lastColumn="0" w:noHBand="0" w:noVBand="0"/>
      </w:tblPr>
      <w:tblGrid>
        <w:gridCol w:w="9800"/>
      </w:tblGrid>
      <w:tr w:rsidR="00FD048C" w14:paraId="51BE082B" w14:textId="77777777">
        <w:trPr>
          <w:trHeight w:val="312"/>
        </w:trPr>
        <w:tc>
          <w:tcPr>
            <w:tcW w:w="98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091A62A" w14:textId="77777777" w:rsidR="00FD048C" w:rsidRDefault="005B3E3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Ремонт заземляющих устройств на подстанциях </w:t>
            </w:r>
          </w:p>
          <w:p w14:paraId="6EA036B4" w14:textId="77777777" w:rsidR="00FD048C" w:rsidRDefault="005B3E3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для нужд филиала ПАО "Россети Московский регион"-</w:t>
            </w:r>
          </w:p>
          <w:p w14:paraId="135F7FFF" w14:textId="77777777" w:rsidR="00FD048C" w:rsidRDefault="005B3E3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Западные электрические сети в 2026 г.</w:t>
            </w:r>
          </w:p>
        </w:tc>
      </w:tr>
    </w:tbl>
    <w:p w14:paraId="024C2BBF" w14:textId="77777777" w:rsidR="00FD048C" w:rsidRDefault="00FD048C">
      <w:pPr>
        <w:jc w:val="center"/>
        <w:rPr>
          <w:sz w:val="28"/>
          <w:szCs w:val="28"/>
        </w:rPr>
      </w:pPr>
    </w:p>
    <w:p w14:paraId="3F36F4DC" w14:textId="77777777" w:rsidR="00FD048C" w:rsidRDefault="005B3E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Предельная (максимальная) стоимость лота </w:t>
      </w:r>
      <w:r>
        <w:rPr>
          <w:b/>
          <w:bCs/>
          <w:color w:val="000000"/>
          <w:sz w:val="28"/>
          <w:szCs w:val="28"/>
        </w:rPr>
        <w:t xml:space="preserve"> </w:t>
      </w:r>
    </w:p>
    <w:p w14:paraId="3A5C77C9" w14:textId="77777777" w:rsidR="00FD048C" w:rsidRDefault="005B3E39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b/>
          <w:color w:val="000000"/>
          <w:sz w:val="28"/>
        </w:rPr>
        <w:t>1 784 229,25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руб. с НДС в том числе НДС 22%</w:t>
      </w:r>
    </w:p>
    <w:p w14:paraId="086C3F07" w14:textId="77777777" w:rsidR="00FD048C" w:rsidRDefault="00FD048C">
      <w:pPr>
        <w:rPr>
          <w:b/>
          <w:color w:val="000000" w:themeColor="text1"/>
          <w:sz w:val="28"/>
          <w:szCs w:val="28"/>
        </w:rPr>
      </w:pPr>
    </w:p>
    <w:p w14:paraId="3BBA9D53" w14:textId="77777777" w:rsidR="00FD048C" w:rsidRDefault="005B3E39">
      <w:pPr>
        <w:numPr>
          <w:ilvl w:val="0"/>
          <w:numId w:val="7"/>
        </w:numPr>
        <w:ind w:left="851" w:hanging="311"/>
        <w:jc w:val="both"/>
        <w:rPr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Основной объём работ</w:t>
      </w:r>
      <w:r>
        <w:rPr>
          <w:color w:val="000000" w:themeColor="text1"/>
          <w:sz w:val="28"/>
          <w:szCs w:val="28"/>
        </w:rPr>
        <w:t>:</w:t>
      </w:r>
    </w:p>
    <w:p w14:paraId="01325252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Ремонт заземляющих устройств (ЗУ) ПС проводится с целью обеспечения электробезопасности персонала, повышения надёжности работы ПС и предотвращения возникновения аварийных ситуаций. </w:t>
      </w:r>
    </w:p>
    <w:p w14:paraId="028CCD1D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Работы по ремонту ЗУ выполняются дефектным ведомостям.</w:t>
      </w:r>
    </w:p>
    <w:p w14:paraId="6EA58349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Работы по ремонту ЗУ включают в себя следующие этапы:</w:t>
      </w:r>
    </w:p>
    <w:p w14:paraId="5EAA843C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1.1. На основании Проектов разрабатываются Программы производства работ (ППР), утверждаемые Заказчиком. </w:t>
      </w:r>
    </w:p>
    <w:p w14:paraId="4E9FD4ED" w14:textId="77777777" w:rsidR="00FD048C" w:rsidRDefault="005B3E39">
      <w:pPr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При разработке ППР должны быть определены трассы подземных коммуникаций, пересекаемые заземлителями: контрольные и силовые кабели, трубопроводы и т.п. В ППР должны быть отражены мероприятия, исключающие повреждение подземных коммуникаций при производстве земляных работ. При необходимости для обеспечения требований электробезопасности и ЭМС, с учетом расположения подземных коммуникаций, оборудования, металлоконструкций и других сооружений, должна быть выполнена корректировка проекта. </w:t>
      </w:r>
    </w:p>
    <w:p w14:paraId="64B86DD9" w14:textId="77777777" w:rsidR="00FD048C" w:rsidRDefault="005B3E39">
      <w:pPr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1.2. Ремонт заземляющих устройств </w:t>
      </w:r>
      <w:r>
        <w:rPr>
          <w:bCs/>
          <w:sz w:val="28"/>
          <w:szCs w:val="28"/>
        </w:rPr>
        <w:t>на выполнить</w:t>
      </w:r>
      <w:r>
        <w:rPr>
          <w:bCs/>
          <w:color w:val="000000" w:themeColor="text1"/>
          <w:sz w:val="28"/>
          <w:szCs w:val="28"/>
        </w:rPr>
        <w:t xml:space="preserve"> согласно дефектным ведомостям №1-3 (Приложение №1 прилагается). </w:t>
      </w:r>
    </w:p>
    <w:p w14:paraId="125B114D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1.3. После завершения электромонтажных работ составляется Акт скрытых работ, проводится послеремонтная диагностика ЗУ для контроля эффективности выполненных работ и обеспечения требований электробезопасности и ЭМС.</w:t>
      </w:r>
    </w:p>
    <w:p w14:paraId="4AB366ED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1.4. По результатам ремонта составляется Паспорт на ЗУ, в котором представляются:                                            </w:t>
      </w:r>
    </w:p>
    <w:p w14:paraId="5F807587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- исполнительная схема ЗУ;</w:t>
      </w:r>
    </w:p>
    <w:p w14:paraId="5E29974E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- результаты проверки параметров ЗУ:</w:t>
      </w:r>
    </w:p>
    <w:p w14:paraId="7C9E6E50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- измерение сопротивления металлосвязей;</w:t>
      </w:r>
    </w:p>
    <w:p w14:paraId="64FAF13D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- измерение потенциалов и токов нормального режима;</w:t>
      </w:r>
    </w:p>
    <w:p w14:paraId="0A05ACDF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- определение удельного сопротивления грунта; </w:t>
      </w:r>
    </w:p>
    <w:p w14:paraId="16C59638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- измерение сопротивления заземляющего устройства;</w:t>
      </w:r>
    </w:p>
    <w:p w14:paraId="3520A674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- определение напряжения на заземляющем устройстве;</w:t>
      </w:r>
    </w:p>
    <w:p w14:paraId="409E8E40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- определение напряжения прикосновения;</w:t>
      </w:r>
    </w:p>
    <w:p w14:paraId="1DC40C7C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- определение распределения потенциалов и токов промышленной частоты по элементам заземляющего устройства при установившихся токах КЗ;</w:t>
      </w:r>
    </w:p>
    <w:p w14:paraId="051FC5B8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- определение тепловой устойчивости заземлителей, заземляющих проводников и экранов кабелей;</w:t>
      </w:r>
    </w:p>
    <w:p w14:paraId="2EF0E110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- определение распределения импульсных напряжений при коротких замыканиях на землю, ударах молнии в молниеотводы и протекании токов через ограничители перенапряжений;</w:t>
      </w:r>
    </w:p>
    <w:p w14:paraId="69F6E5A5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- определение коррозионного состояния заземляющих проводников и заземлителей.</w:t>
      </w:r>
    </w:p>
    <w:p w14:paraId="3FD4EC0B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- заключение о соответствии требованиям электробезопасности и ЭМС.</w:t>
      </w:r>
    </w:p>
    <w:p w14:paraId="66703A8F" w14:textId="77777777" w:rsidR="00FD048C" w:rsidRDefault="005B3E39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Представляются Акты на скрытые работы.</w:t>
      </w:r>
    </w:p>
    <w:p w14:paraId="7A83749C" w14:textId="77777777" w:rsidR="00FD048C" w:rsidRDefault="005B3E39">
      <w:pPr>
        <w:shd w:val="clear" w:color="FFFFFF" w:themeColor="background1" w:fill="FFFFFF" w:themeFill="background1"/>
        <w:ind w:firstLine="567"/>
        <w:jc w:val="both"/>
        <w:rPr>
          <w:bCs/>
          <w:color w:val="000000" w:themeColor="text1"/>
          <w:sz w:val="28"/>
          <w:szCs w:val="28"/>
          <w:highlight w:val="white"/>
        </w:rPr>
      </w:pPr>
      <w:r>
        <w:rPr>
          <w:bCs/>
          <w:color w:val="000000" w:themeColor="text1"/>
          <w:sz w:val="28"/>
          <w:szCs w:val="28"/>
          <w:highlight w:val="white"/>
        </w:rPr>
        <w:t>Для участия в торгово-закупочной процедуре и заключения договора участнику необходимо предоставить сметный расчёт, который должен быть составлен в строгом соответствии с составом и технологией производства работ, указанных в дефектных ведомостях №1-3 (Приложение №1</w:t>
      </w:r>
      <w:r>
        <w:rPr>
          <w:highlight w:val="white"/>
        </w:rPr>
        <w:t xml:space="preserve"> </w:t>
      </w:r>
      <w:r>
        <w:rPr>
          <w:bCs/>
          <w:color w:val="000000" w:themeColor="text1"/>
          <w:sz w:val="28"/>
          <w:szCs w:val="28"/>
          <w:highlight w:val="white"/>
        </w:rPr>
        <w:t xml:space="preserve">к Техническому заданию), с использованием расценок сметно-нормативной базы: </w:t>
      </w:r>
    </w:p>
    <w:p w14:paraId="201D7DC2" w14:textId="77777777" w:rsidR="00FD048C" w:rsidRDefault="005B3E39">
      <w:pPr>
        <w:shd w:val="clear" w:color="FFFFFF" w:themeColor="background1" w:fill="FFFFFF" w:themeFill="background1"/>
        <w:ind w:firstLine="426"/>
        <w:jc w:val="both"/>
        <w:rPr>
          <w:bCs/>
          <w:color w:val="000000" w:themeColor="text1"/>
          <w:sz w:val="28"/>
          <w:szCs w:val="28"/>
          <w:highlight w:val="white"/>
        </w:rPr>
      </w:pPr>
      <w:r>
        <w:rPr>
          <w:bCs/>
          <w:color w:val="000000" w:themeColor="text1"/>
          <w:sz w:val="28"/>
          <w:szCs w:val="28"/>
          <w:highlight w:val="white"/>
        </w:rPr>
        <w:t>- Сборников ФСНБ-2022, утверждённых Приказом Минстроя России от 30.12.2021г. № 1046/пр  в редакции изменения и дополнения № 13, утвержденного Приказом от 07.02.2025г. № 69/пр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2025г и размещенных в ФГИС ЦС примененных в соответствии со следующими условиями:</w:t>
      </w:r>
    </w:p>
    <w:p w14:paraId="266E4356" w14:textId="77777777" w:rsidR="00FD048C" w:rsidRDefault="005B3E39">
      <w:pPr>
        <w:shd w:val="clear" w:color="FFFFFF" w:themeColor="background1" w:fill="FFFFFF" w:themeFill="background1"/>
        <w:ind w:firstLine="426"/>
        <w:jc w:val="both"/>
        <w:rPr>
          <w:bCs/>
          <w:color w:val="000000" w:themeColor="text1"/>
          <w:sz w:val="28"/>
          <w:szCs w:val="28"/>
          <w:highlight w:val="white"/>
        </w:rPr>
      </w:pPr>
      <w:r>
        <w:rPr>
          <w:bCs/>
          <w:color w:val="000000" w:themeColor="text1"/>
          <w:sz w:val="28"/>
          <w:szCs w:val="28"/>
          <w:highlight w:val="white"/>
        </w:rPr>
        <w:t>-зона субъекта РФ: Московская область,</w:t>
      </w:r>
    </w:p>
    <w:p w14:paraId="6F19F522" w14:textId="77777777" w:rsidR="00FD048C" w:rsidRDefault="005B3E39">
      <w:pPr>
        <w:shd w:val="clear" w:color="FFFFFF" w:themeColor="background1" w:fill="FFFFFF" w:themeFill="background1"/>
        <w:ind w:firstLine="426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с использованием сплит-формы Минстроя России для Московской области.</w:t>
      </w:r>
    </w:p>
    <w:p w14:paraId="51DE10B6" w14:textId="77777777" w:rsidR="00FD048C" w:rsidRDefault="005B3E39">
      <w:pPr>
        <w:pStyle w:val="af7"/>
        <w:numPr>
          <w:ilvl w:val="0"/>
          <w:numId w:val="12"/>
        </w:numPr>
        <w:shd w:val="clear" w:color="FFFFFF" w:themeColor="background1" w:fill="FFFFFF" w:themeFill="background1"/>
        <w:ind w:left="0" w:firstLine="775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к  итоговой стоимости материалов (учтенных сметными нормами) и итоговой стоимости машин и механизмов (без ЗП машинистов) может быть применен расчётный ИЦП не более 1,1155 (учитывающий прогнозируемые изменения цен на 2,3,4 квартал 2025г и весь 2026 год) и к итоговой стоимости затрат на оплату труда рабочих  и машинистов может быть применен расчётный ИЦП не более  1,0881 (учитывающий прогнозируемые изменения цен на 2,3,4 квартал 2025г и весь 2026 год).</w:t>
      </w:r>
    </w:p>
    <w:p w14:paraId="4F33FD98" w14:textId="77777777" w:rsidR="00FD048C" w:rsidRDefault="005B3E39">
      <w:pPr>
        <w:shd w:val="clear" w:color="FFFFFF" w:themeColor="background1" w:fill="FFFFFF" w:themeFill="background1"/>
        <w:ind w:firstLine="567"/>
        <w:jc w:val="both"/>
        <w:rPr>
          <w:bCs/>
          <w:color w:val="000000" w:themeColor="text1"/>
          <w:sz w:val="28"/>
          <w:szCs w:val="28"/>
          <w:highlight w:val="white"/>
        </w:rPr>
      </w:pPr>
      <w:r>
        <w:rPr>
          <w:bCs/>
          <w:color w:val="000000" w:themeColor="text1"/>
          <w:sz w:val="28"/>
          <w:szCs w:val="28"/>
          <w:highlight w:val="white"/>
        </w:rPr>
        <w:t>На работы, отсутствующие в вышеуказанных ценовых базах составляется калькуляция по утвержденным нормам и расходным нормативам.</w:t>
      </w:r>
    </w:p>
    <w:p w14:paraId="18948424" w14:textId="77777777" w:rsidR="00FD048C" w:rsidRDefault="00FD048C">
      <w:pPr>
        <w:shd w:val="clear" w:color="FFFFFF" w:themeColor="background1" w:fill="FFFFFF" w:themeFill="background1"/>
        <w:jc w:val="both"/>
        <w:rPr>
          <w:b/>
          <w:color w:val="000000" w:themeColor="text1"/>
          <w:sz w:val="28"/>
          <w:szCs w:val="28"/>
          <w:highlight w:val="white"/>
        </w:rPr>
      </w:pPr>
    </w:p>
    <w:p w14:paraId="149E1D57" w14:textId="77777777" w:rsidR="00FD048C" w:rsidRDefault="005B3E39">
      <w:pPr>
        <w:shd w:val="clear" w:color="auto" w:fill="FFFFFF"/>
        <w:tabs>
          <w:tab w:val="left" w:pos="710"/>
        </w:tabs>
        <w:ind w:firstLine="567"/>
        <w:rPr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 xml:space="preserve"> Описание технического требования на ремонт и требований к подрядной  организации.</w:t>
      </w:r>
    </w:p>
    <w:p w14:paraId="10D8584B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2.1. При выполнении ремонтных работ следует руководствоваться следующими положениями:</w:t>
      </w:r>
    </w:p>
    <w:p w14:paraId="56BFE5E0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1) В качестве горизонтальных заземлителей и заземляющих проводников использовать стальную полосу сечением 40×5 мм</w:t>
      </w:r>
      <w:r>
        <w:rPr>
          <w:color w:val="000000"/>
          <w:spacing w:val="-2"/>
          <w:sz w:val="28"/>
          <w:szCs w:val="28"/>
          <w:vertAlign w:val="superscript"/>
        </w:rPr>
        <w:t>2</w:t>
      </w:r>
      <w:r>
        <w:rPr>
          <w:color w:val="000000"/>
          <w:spacing w:val="-2"/>
          <w:sz w:val="28"/>
          <w:szCs w:val="28"/>
        </w:rPr>
        <w:t>. В качестве вертикальных заземлителей использовать прокат горячекатаный круглый диаметром 10 и 18 мм.</w:t>
      </w:r>
    </w:p>
    <w:p w14:paraId="1AE297CC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2) Проектируемые горизонтальные заземлители проложить в траншеях глубиной 50 см и шириной 30 см. В местах с твердым и каменистым грунтом допускается для выемки грунта использовать ручной электрифицированный инструмент. В местах пересечений проектируемых горизонтальных заземлителей с подземными кабелями и коллекторами работы по выемке грунта производить только лопатами в присутствии начальника группы подстанций или его уполномоченного представителя.</w:t>
      </w:r>
    </w:p>
    <w:p w14:paraId="01E62349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3) В местах пересечения прокладываемых горизонтальных заземлителей между собой и с существующими заземлителями выполнить их соединения сваркой.</w:t>
      </w:r>
    </w:p>
    <w:p w14:paraId="74E46781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4) Участки заземляющих проводников у поверхности земли покрыть битумным лаком БТ-577 ГОСТ 5631-79. Длина покрываемого лаком участка должна быть не менее 200 мм выше и ниже поверхности земли. </w:t>
      </w:r>
    </w:p>
    <w:p w14:paraId="7963C4B6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5) Для заземления металлических дверей, шкафов в зданиях и спутниковой антенны использовать медный провод ПВ3 1х25, ПВ3 1х16.</w:t>
      </w:r>
    </w:p>
    <w:p w14:paraId="037E6CD6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7) На ОРУ около рабочих мест (приводов разъединителей и отделителей), на месте непосредственного расположения оператора уложить на поверхность земли стальные площадки и присоединить их уравнивающими проводниками непосредственно к металлоконструкциям приводов разъединителей. Присоединение площадок к заземляющим проводникам разъединителей не допускается. </w:t>
      </w:r>
    </w:p>
    <w:p w14:paraId="242204D1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8) Выполнить соединение металлоконструкций приводов разъединителей с заземляющими проводниками.</w:t>
      </w:r>
    </w:p>
    <w:p w14:paraId="481F8CCF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9) Участки оборудования на ОРУ, имеющего по одному заземляющему проводнику смонтировать по одному дополнительному заземляющему проводнику. В качестве дополнительных заземляющих проводников использовать стальную полосу сечением 40×5 мм2. Дополнительные заземляющие проводники соединить с заземляющим устройством.</w:t>
      </w:r>
    </w:p>
    <w:p w14:paraId="7D69B497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10) Все соединения проводников заземляющего устройства между собой и их присоединения к металлоконструкциям выполнить электродуговой сваркой по ГОСТ 23792-79, ГОСТ 5264-80 и ГОСТ 14098-91 электродами типа Э46 по ГОСТ 9467-75 – см. лист «Узлы соединений проводников ЗУ».</w:t>
      </w:r>
    </w:p>
    <w:p w14:paraId="5B420B6D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Сварные швы продольных соединений проводников прямоугольного сечения между собой должны соответствовать ГОСТ 23792-79-Н11-Р. </w:t>
      </w:r>
    </w:p>
    <w:p w14:paraId="0FBD3722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Сварные швы поперечных соединений проводников прямоугольного сечения между собой должны соответствовать ГОСТ 5264-80-Н2-Р. </w:t>
      </w:r>
    </w:p>
    <w:p w14:paraId="68F8C15B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Сварные швы соединений проводников круглого сечения между собой должны соответствовать ГОСТ 23792-79-Н13-Р.</w:t>
      </w:r>
    </w:p>
    <w:p w14:paraId="2A1EAE21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Сварные швы соединений проводников круглого и прямоугольного сечений между собой должны соответствовать ГОСТ 14098-91-Н1-Рш. </w:t>
      </w:r>
    </w:p>
    <w:p w14:paraId="760AFB4E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Места соединений после сварки зачистить от окалины и покрыть битумным лаком БТ-577 ГОСТ 5631-79.</w:t>
      </w:r>
    </w:p>
    <w:p w14:paraId="1E57DEF1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11) Наземные части заземляющих проводников покрыть битумным лаком БТ-577 ГОСТ 5631-79 в два слоя.</w:t>
      </w:r>
    </w:p>
    <w:p w14:paraId="2C1083EA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12) После монтажа заземлителей и заземляющих проводников составить Акты скрытых работ и засыпать траншеи естественным грунтом без строительного мусора слоями по 150 – 200 мм с тщательным трамбованием.</w:t>
      </w:r>
    </w:p>
    <w:p w14:paraId="10A182F9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13) Произвести диагностику заземляющего устройства с учетом электромагнитной совместимости после проведенного ремонта, и выдать паспорт на заземляющее устройство ПС.</w:t>
      </w:r>
    </w:p>
    <w:p w14:paraId="1F2A5191" w14:textId="77777777" w:rsidR="00FD048C" w:rsidRDefault="005B3E39">
      <w:pPr>
        <w:shd w:val="clear" w:color="auto" w:fill="FFFFFF"/>
        <w:ind w:right="106"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Работы производятся в стесненных условиях вблизи действующего технологического оборудования, находящегося под высоким напряжением.</w:t>
      </w:r>
    </w:p>
    <w:p w14:paraId="3587E99D" w14:textId="77777777" w:rsidR="00FD048C" w:rsidRDefault="005B3E39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2.2. Ремонтные работы должны быть выполнены в соответствии с действующей нормативно - технической документацией (НТД), а именно:</w:t>
      </w:r>
    </w:p>
    <w:p w14:paraId="3A19FFE1" w14:textId="77777777" w:rsidR="00FD048C" w:rsidRDefault="005B3E39">
      <w:pPr>
        <w:widowControl w:val="0"/>
        <w:shd w:val="clear" w:color="auto" w:fill="FFFFFF"/>
        <w:tabs>
          <w:tab w:val="left" w:pos="979"/>
        </w:tabs>
        <w:spacing w:line="322" w:lineRule="exact"/>
        <w:ind w:left="567" w:right="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r>
        <w:rPr>
          <w:sz w:val="28"/>
          <w:szCs w:val="28"/>
        </w:rPr>
        <w:t>Правила по охране труда при эксплуатации электроустановок (Приказ от 15.12.20г. № 903н Министерство труда и социальной защиты РФ) (изменение  от 29.04.2022 № 279н);</w:t>
      </w:r>
    </w:p>
    <w:p w14:paraId="127A3E65" w14:textId="77777777" w:rsidR="00FD048C" w:rsidRDefault="005B3E39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-Правилами устройства электроустановок (ПУЭ);</w:t>
      </w:r>
    </w:p>
    <w:p w14:paraId="76B8727E" w14:textId="77777777" w:rsidR="00FD048C" w:rsidRDefault="005B3E39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-Правилами технической эксплуатации электрических станций и сетей Российской Федерации (ПТЭЭСС) №71384 от 06.12.2022г;</w:t>
      </w:r>
    </w:p>
    <w:p w14:paraId="1D0D48C2" w14:textId="77777777" w:rsidR="00FD048C" w:rsidRDefault="005B3E39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</w:t>
      </w:r>
      <w:r>
        <w:t xml:space="preserve"> </w:t>
      </w:r>
      <w:r>
        <w:rPr>
          <w:color w:val="000000"/>
          <w:spacing w:val="-1"/>
          <w:sz w:val="28"/>
          <w:szCs w:val="28"/>
        </w:rPr>
        <w:t>Политика в области пожарной безопасности ПАО «Россети» Распоряжение от 01.09.2023 г № 435р, изменен от 20.09.2023 № 2023  № 492р;</w:t>
      </w:r>
    </w:p>
    <w:p w14:paraId="21ACED0E" w14:textId="77777777" w:rsidR="00FD048C" w:rsidRDefault="005B3E39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Приказ Минэнерго России от 25.10.2017 № 1013 "Об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"Правила организации технического обслуживания и ремонта объектов электроэнергетики";</w:t>
      </w:r>
    </w:p>
    <w:p w14:paraId="020EFCDE" w14:textId="77777777" w:rsidR="00FD048C" w:rsidRDefault="005B3E39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-Отраслевыми стандартами (СНиП, СанПиН);</w:t>
      </w:r>
    </w:p>
    <w:p w14:paraId="14078EC4" w14:textId="77777777" w:rsidR="00FD048C" w:rsidRDefault="005B3E39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-Работы на объекте должны проводиться в соответствии с утвержденным Проектом производства работ (ППР), в котором необходимо предусмотреть технологическую последовательность проводимых работ. ППР должен быть представлен на согласование с Заказчиком до начала проведения работ. </w:t>
      </w:r>
    </w:p>
    <w:p w14:paraId="00FCBEF0" w14:textId="77777777" w:rsidR="00FD048C" w:rsidRDefault="005B3E39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-Допуск, подготовка и проведение подрядными организациями на объектах ПАО «Россети Московский регион» выполняется согласно Регламента допуска персонала организаций для выполнения работ на объектах ПАО «Россети Московский регион», утвержденного приказом Общества от 05.04.2021 №333 (в редакции приказов 25.01.2022 № 65, от 07.02.2022 № 107), (изм. от 10.01.2024 № 9).</w:t>
      </w:r>
    </w:p>
    <w:p w14:paraId="7B35BD79" w14:textId="77777777" w:rsidR="00FD048C" w:rsidRDefault="005B3E39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Руководитель работ  должен быть обучен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 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 Количество персонала определяется исходя из условия достаточности для своевременного выполнения объема работ по настоящему Техническому заданию. Ориентировочный с</w:t>
      </w:r>
      <w:r>
        <w:rPr>
          <w:spacing w:val="-1"/>
          <w:sz w:val="28"/>
          <w:szCs w:val="28"/>
        </w:rPr>
        <w:t xml:space="preserve">остав персонала для выполнения работ по ремонту кабельных лотков вторичной коммутации –из 7 человек: 1 человек - ответственный руководитель работ, 5 гр. </w:t>
      </w:r>
      <w:r>
        <w:rPr>
          <w:spacing w:val="-1"/>
          <w:sz w:val="28"/>
          <w:szCs w:val="28"/>
        </w:rPr>
        <w:lastRenderedPageBreak/>
        <w:t>по ЭБ, 2 человека – производители работ, 4 гр. по ЭБ, 4 человек – члены бригады, 3гр. по ЭБ.</w:t>
      </w:r>
    </w:p>
    <w:p w14:paraId="57B2C551" w14:textId="77777777" w:rsidR="00FD048C" w:rsidRDefault="005B3E39">
      <w:pPr>
        <w:shd w:val="clear" w:color="auto" w:fill="FFFFFF"/>
        <w:tabs>
          <w:tab w:val="left" w:pos="7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требуемому количеству персонала предоставить копии трудовых или гражданско-правовых договоров, копии протоколов проверки знаний и удостоверений, а также документы в соответствии с «Регламентом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№333 (в редакции приказов 25.01.2022 № 65, от 07.02.2022 № 107), (изм. от 10.01.2024 № 9).</w:t>
      </w:r>
    </w:p>
    <w:p w14:paraId="00488B46" w14:textId="77777777" w:rsidR="00FD048C" w:rsidRDefault="005B3E39">
      <w:pPr>
        <w:shd w:val="clear" w:color="auto" w:fill="FFFFFF"/>
        <w:tabs>
          <w:tab w:val="left" w:pos="7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28"/>
          <w:szCs w:val="28"/>
        </w:rPr>
        <w:tab/>
        <w:t>Производство работ, оформление техдокументации должно быть выполнено в соответствии с требованиями «Правилами организации технического обслуживания и ремонта объектов электроэнергетики».</w:t>
      </w:r>
    </w:p>
    <w:p w14:paraId="7A139D8B" w14:textId="77777777" w:rsidR="00FD048C" w:rsidRDefault="005B3E39">
      <w:pPr>
        <w:shd w:val="clear" w:color="auto" w:fill="FFFFFF"/>
        <w:tabs>
          <w:tab w:val="left" w:pos="7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>
        <w:rPr>
          <w:sz w:val="28"/>
          <w:szCs w:val="28"/>
        </w:rPr>
        <w:tab/>
        <w:t>Количество и квалификация ремонтного персонала в течение всего времени выполнения ремонта должны соответствовать требованиям, установленным в ремонтной документации, а также обеспечивать выполнение ремонтных работ в установленные графиком производства ремонтных работ сроки и требований к качеству выполнения работ, установленных в ремонтной документации (ППР).</w:t>
      </w:r>
    </w:p>
    <w:p w14:paraId="5D8FE8A3" w14:textId="77777777" w:rsidR="00FD048C" w:rsidRDefault="005B3E39">
      <w:pPr>
        <w:shd w:val="clear" w:color="auto" w:fill="FFFFFF"/>
        <w:tabs>
          <w:tab w:val="left" w:pos="7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>
        <w:rPr>
          <w:sz w:val="28"/>
          <w:szCs w:val="28"/>
        </w:rPr>
        <w:tab/>
        <w:t>Наличие необходимого инструмента, приспособлений и техники для выполнения работ согласно дефектным ведомостям настоящего технического задания в полном объеме и с надлежащим качеством.</w:t>
      </w:r>
    </w:p>
    <w:p w14:paraId="74DCA947" w14:textId="77777777" w:rsidR="00FD048C" w:rsidRDefault="005B3E39">
      <w:pPr>
        <w:shd w:val="clear" w:color="auto" w:fill="FFFFFF"/>
        <w:tabs>
          <w:tab w:val="left" w:pos="7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>
        <w:rPr>
          <w:sz w:val="28"/>
          <w:szCs w:val="28"/>
        </w:rPr>
        <w:tab/>
        <w:t>Оборудование, материалы и технология их применения не должны нанести вред здоровью персонала и окружающей среде.</w:t>
      </w:r>
    </w:p>
    <w:p w14:paraId="5056F07E" w14:textId="4AEE0B2C" w:rsidR="00FD048C" w:rsidRDefault="005B3E39">
      <w:pPr>
        <w:shd w:val="clear" w:color="auto" w:fill="FFFFFF"/>
        <w:tabs>
          <w:tab w:val="left" w:pos="710"/>
        </w:tabs>
        <w:ind w:firstLine="709"/>
        <w:jc w:val="both"/>
      </w:pPr>
      <w:r>
        <w:rPr>
          <w:sz w:val="28"/>
          <w:szCs w:val="28"/>
        </w:rPr>
        <w:t>2.7. У подрядной организации, должны быть:</w:t>
      </w:r>
    </w:p>
    <w:p w14:paraId="3254FA99" w14:textId="77777777" w:rsidR="00FD048C" w:rsidRDefault="005B3E39">
      <w:pPr>
        <w:shd w:val="clear" w:color="auto" w:fill="FFFFFF"/>
        <w:tabs>
          <w:tab w:val="left" w:pos="710"/>
        </w:tabs>
        <w:ind w:firstLine="709"/>
        <w:jc w:val="both"/>
      </w:pPr>
      <w:r>
        <w:rPr>
          <w:sz w:val="28"/>
          <w:szCs w:val="28"/>
        </w:rPr>
        <w:t>- документы, подтверждающие право собственности или аренды, а также свидетельство о регистрации электролаборатории в Федеральной службе по экологическому, технологическому и атомному надзору с указанием перечня разрешенных видов испытаний и измерений, соответствующих объёму работ п.1.4 (Требования о регистрации ЭТЛ в РТН указано в п.39.1 Правил по охране труда при эксплуатации электроустановок, утверждённых Министерством труда и социальной защиты Российской Федерации Приказ от 15 декабря 2020 года N 903н (с изменениями на 29 апреля 2022 года);</w:t>
      </w:r>
    </w:p>
    <w:p w14:paraId="011E9DD9" w14:textId="77777777" w:rsidR="00FD048C" w:rsidRDefault="005B3E39">
      <w:pPr>
        <w:shd w:val="clear" w:color="auto" w:fill="FFFFFF"/>
        <w:tabs>
          <w:tab w:val="left" w:pos="7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перечень приборов и программ для выполнения работ, совместно с действующими свидетельствами о поверке приборов, свидетельство о государственной регистрации программы для ЭВМ (Требования о поверки приборов определено Приказом от 31 июля 2020 года N 2510 Об утверждении порядка проведения поверки средств измерений, требований к знаку поверки и содержанию свидетельства о поверке).</w:t>
      </w:r>
    </w:p>
    <w:p w14:paraId="0E9A2E48" w14:textId="77777777" w:rsidR="00FD048C" w:rsidRDefault="00FD048C">
      <w:pPr>
        <w:tabs>
          <w:tab w:val="num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4BEE2638" w14:textId="77777777" w:rsidR="00FD048C" w:rsidRDefault="005B3E39">
      <w:pPr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 Основные требования к участнику закупки.</w:t>
      </w:r>
    </w:p>
    <w:p w14:paraId="0A3D222E" w14:textId="77777777" w:rsidR="00FD048C" w:rsidRDefault="005B3E39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3.1. Обязательные (отборочные) требования к участникам Закупки</w:t>
      </w:r>
    </w:p>
    <w:p w14:paraId="6654E2D3" w14:textId="77777777" w:rsidR="00FD048C" w:rsidRDefault="005B3E39">
      <w:pPr>
        <w:spacing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Участник должен соответствовать всем требованиям, установленным в закупочной документации.</w:t>
      </w:r>
    </w:p>
    <w:p w14:paraId="618EA79F" w14:textId="77777777" w:rsidR="00FD048C" w:rsidRDefault="00FD048C">
      <w:pPr>
        <w:jc w:val="both"/>
        <w:rPr>
          <w:color w:val="000000" w:themeColor="text1"/>
          <w:sz w:val="28"/>
          <w:szCs w:val="28"/>
        </w:rPr>
      </w:pPr>
    </w:p>
    <w:p w14:paraId="38C158FA" w14:textId="77777777" w:rsidR="00FD048C" w:rsidRDefault="005B3E39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3.2.Оценочные критерии</w:t>
      </w:r>
      <w:r>
        <w:rPr>
          <w:color w:val="000000" w:themeColor="text1"/>
          <w:sz w:val="28"/>
          <w:szCs w:val="28"/>
        </w:rPr>
        <w:t>:</w:t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8"/>
        <w:gridCol w:w="791"/>
        <w:gridCol w:w="1276"/>
        <w:gridCol w:w="1134"/>
        <w:gridCol w:w="1417"/>
      </w:tblGrid>
      <w:tr w:rsidR="00FD048C" w14:paraId="323D8F03" w14:textId="77777777">
        <w:trPr>
          <w:trHeight w:val="427"/>
          <w:tblHeader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3CF8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Критерий оценки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E13D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Весовой коэффициент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D7C5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Наименование участника</w:t>
            </w:r>
          </w:p>
        </w:tc>
      </w:tr>
      <w:tr w:rsidR="00FD048C" w14:paraId="24E150C5" w14:textId="77777777">
        <w:trPr>
          <w:trHeight w:val="363"/>
          <w:tblHeader/>
        </w:trPr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35E3" w14:textId="77777777" w:rsidR="00FD048C" w:rsidRDefault="00FD048C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3076" w14:textId="77777777" w:rsidR="00FD048C" w:rsidRDefault="00FD048C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40765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Балл по шкале оценки</w:t>
            </w:r>
          </w:p>
        </w:tc>
        <w:tc>
          <w:tcPr>
            <w:tcW w:w="1134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7027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Оценка участника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7666D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Фактическое значение показателя</w:t>
            </w:r>
          </w:p>
        </w:tc>
      </w:tr>
      <w:tr w:rsidR="00FD048C" w14:paraId="01230051" w14:textId="77777777">
        <w:trPr>
          <w:trHeight w:val="300"/>
        </w:trPr>
        <w:tc>
          <w:tcPr>
            <w:tcW w:w="49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61FE" w14:textId="77777777" w:rsidR="00FD048C" w:rsidRDefault="005B3E3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1. Профессионализм и компетентность.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319A" w14:textId="77777777" w:rsidR="00FD048C" w:rsidRDefault="00FD048C">
            <w:pPr>
              <w:jc w:val="both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C32D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7434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ED73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FD048C" w14:paraId="3F1B97C4" w14:textId="77777777">
        <w:trPr>
          <w:trHeight w:val="300"/>
        </w:trPr>
        <w:tc>
          <w:tcPr>
            <w:tcW w:w="49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C4FF" w14:textId="292F6789" w:rsidR="00FD048C" w:rsidRDefault="005B3E39">
            <w:pPr>
              <w:pStyle w:val="af7"/>
              <w:numPr>
                <w:ilvl w:val="1"/>
                <w:numId w:val="8"/>
              </w:numPr>
              <w:ind w:left="34" w:hanging="3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Наличие опыта выполнения работ по ремонту заземляющих устройств на ПС 35-110кВ с суммой договора не менее 30% от предельной цены настоящего лота за последние 5 лет, с момента размещения извещения о проведении ТЗП.. Подтверждающие документы: копии договоров и актов приемки работ. </w:t>
            </w:r>
          </w:p>
          <w:p w14:paraId="5BC5437F" w14:textId="77777777" w:rsidR="00FD048C" w:rsidRDefault="00FD048C">
            <w:pPr>
              <w:pStyle w:val="af7"/>
              <w:ind w:left="42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9BB3634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документы не представлены/документы не соответствуют критериям оценки = 0 баллов; </w:t>
            </w:r>
          </w:p>
          <w:p w14:paraId="5E1B4547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- 1 договор выполненных работ и акты выполненных работ = 50 баллов;</w:t>
            </w:r>
          </w:p>
          <w:p w14:paraId="2D1B4826" w14:textId="47012C49" w:rsidR="00FD048C" w:rsidRDefault="005B3E39" w:rsidP="005B3E3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- 2 и более договора  и акты выполненных работ  = 100 баллов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A111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B2AF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D58A" w14:textId="77777777" w:rsidR="00FD048C" w:rsidRDefault="00FD048C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F39C" w14:textId="77777777" w:rsidR="00FD048C" w:rsidRDefault="00FD048C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D048C" w14:paraId="3813DA93" w14:textId="77777777">
        <w:trPr>
          <w:trHeight w:val="861"/>
        </w:trPr>
        <w:tc>
          <w:tcPr>
            <w:tcW w:w="49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09DB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1.2. Наличие кадровых ресурсов </w:t>
            </w:r>
          </w:p>
          <w:p w14:paraId="5078CD41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Предоставить документы по п. 2.2. ТЗ</w:t>
            </w:r>
          </w:p>
          <w:p w14:paraId="45672761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15E9C3E" w14:textId="34DEA684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наличие персонала 7 чел. и менее документы не представлены/документы не соответствуют критериям оценки = 0 баллов;</w:t>
            </w:r>
          </w:p>
          <w:p w14:paraId="459CAE7F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наличие персонала 8-10 чел. документы представлены и соответствуют критериям оценки = 50 баллов;</w:t>
            </w:r>
          </w:p>
          <w:p w14:paraId="55D8D850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наличие персонала 11 чел. и более, документы представлены и соответствуют критериям оценки = 100 баллов.  </w:t>
            </w:r>
          </w:p>
          <w:p w14:paraId="7AEF59C3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92D6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0577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8B62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10AE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D048C" w14:paraId="67B87851" w14:textId="77777777">
        <w:trPr>
          <w:trHeight w:val="300"/>
        </w:trPr>
        <w:tc>
          <w:tcPr>
            <w:tcW w:w="49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FA83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Итого по разделу 1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6DDF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EEA2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A8F8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366C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FD048C" w14:paraId="30BF0560" w14:textId="77777777">
        <w:trPr>
          <w:cantSplit/>
          <w:trHeight w:val="5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A646" w14:textId="77777777" w:rsidR="00FD048C" w:rsidRDefault="005B3E3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2. Цена предложения </w:t>
            </w:r>
          </w:p>
          <w:p w14:paraId="53B3A604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Оценка участника определяется по формуле:</w:t>
            </w:r>
          </w:p>
          <w:p w14:paraId="2DF4D872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color w:val="000000" w:themeColor="text1"/>
                <w:sz w:val="28"/>
                <w:szCs w:val="28"/>
              </w:rPr>
              <w:t xml:space="preserve"> 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i</w:t>
            </w:r>
          </w:p>
          <w:p w14:paraId="252063F5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Rs</w:t>
            </w:r>
            <w:r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 </w:t>
            </w:r>
            <w:r>
              <w:rPr>
                <w:color w:val="000000" w:themeColor="text1"/>
                <w:sz w:val="28"/>
                <w:szCs w:val="28"/>
              </w:rPr>
              <w:t xml:space="preserve"> = ---------------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x</w:t>
            </w:r>
            <w:r>
              <w:rPr>
                <w:color w:val="000000" w:themeColor="text1"/>
                <w:sz w:val="28"/>
                <w:szCs w:val="28"/>
              </w:rPr>
              <w:t xml:space="preserve"> 100  баллов, где:</w:t>
            </w:r>
          </w:p>
          <w:p w14:paraId="66A77FF9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  <w:vertAlign w:val="subscript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color w:val="000000" w:themeColor="text1"/>
                <w:sz w:val="28"/>
                <w:szCs w:val="28"/>
                <w:vertAlign w:val="subscript"/>
              </w:rPr>
              <w:t xml:space="preserve"> </w:t>
            </w:r>
          </w:p>
          <w:p w14:paraId="42E568B8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5EF3EF2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R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color w:val="000000" w:themeColor="text1"/>
                <w:sz w:val="28"/>
                <w:szCs w:val="28"/>
              </w:rPr>
              <w:t>    - рейтинг i-й заявки по критерию стоимости,</w:t>
            </w:r>
          </w:p>
          <w:p w14:paraId="764EBD87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color w:val="000000" w:themeColor="text1"/>
                <w:sz w:val="28"/>
                <w:szCs w:val="28"/>
              </w:rPr>
              <w:t>   - начальная  (максимальная)  цена договора,</w:t>
            </w:r>
          </w:p>
          <w:p w14:paraId="45C9C85F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color w:val="000000" w:themeColor="text1"/>
                <w:sz w:val="28"/>
                <w:szCs w:val="28"/>
              </w:rPr>
              <w:t xml:space="preserve">      - стоимость заявки i-го участника.</w:t>
            </w:r>
          </w:p>
        </w:tc>
        <w:tc>
          <w:tcPr>
            <w:tcW w:w="79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C6BE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45E1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C74B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5A25" w14:textId="77777777" w:rsidR="00FD048C" w:rsidRDefault="00FD048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D048C" w14:paraId="44E1E1CF" w14:textId="77777777">
        <w:trPr>
          <w:trHeight w:val="300"/>
        </w:trPr>
        <w:tc>
          <w:tcPr>
            <w:tcW w:w="49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F5BD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Итого по разделу 2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208A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20F8C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374A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0306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FD048C" w14:paraId="51DD0DD8" w14:textId="77777777">
        <w:trPr>
          <w:trHeight w:val="300"/>
        </w:trPr>
        <w:tc>
          <w:tcPr>
            <w:tcW w:w="49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99DE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Итого по всем разделам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A10E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73E5" w14:textId="77777777" w:rsidR="00FD048C" w:rsidRDefault="005B3E3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01EA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533D" w14:textId="77777777" w:rsidR="00FD048C" w:rsidRDefault="005B3E39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</w:tbl>
    <w:p w14:paraId="28690AA3" w14:textId="77777777" w:rsidR="00FD048C" w:rsidRDefault="00FD048C">
      <w:pPr>
        <w:jc w:val="both"/>
        <w:rPr>
          <w:color w:val="000000" w:themeColor="text1"/>
          <w:sz w:val="28"/>
          <w:szCs w:val="28"/>
        </w:rPr>
      </w:pPr>
    </w:p>
    <w:p w14:paraId="60C9C9A8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84A25F2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Ri = (R1 x V1) +…+ (Rm x Vm), где: </w:t>
      </w:r>
    </w:p>
    <w:p w14:paraId="0F9E8EAE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Ri - общий рейтинг предпочтительности i-й заявки; </w:t>
      </w:r>
    </w:p>
    <w:p w14:paraId="50D473EA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R1, …, Rm – оценка в баллах по соответствующему критерию </w:t>
      </w:r>
    </w:p>
    <w:p w14:paraId="016FB586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V1, …, Vm – весовые коэффициенты соответствующих критериев.</w:t>
      </w:r>
    </w:p>
    <w:p w14:paraId="35937D2B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03C3A23E" w14:textId="77777777" w:rsidR="00FD048C" w:rsidRDefault="005B3E39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333D54E" w14:textId="77777777" w:rsidR="00FD048C" w:rsidRDefault="00FD048C">
      <w:pPr>
        <w:jc w:val="both"/>
        <w:rPr>
          <w:b/>
          <w:color w:val="000000" w:themeColor="text1"/>
          <w:sz w:val="28"/>
          <w:szCs w:val="28"/>
        </w:rPr>
      </w:pPr>
    </w:p>
    <w:p w14:paraId="768ACE53" w14:textId="77777777" w:rsidR="00FD048C" w:rsidRDefault="005B3E3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4. Требуемые сроки выполнения работ: </w:t>
      </w:r>
    </w:p>
    <w:p w14:paraId="461A40D0" w14:textId="77777777" w:rsidR="00FD048C" w:rsidRDefault="005B3E39">
      <w:pPr>
        <w:widowControl w:val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Начало выполнения работ:</w:t>
      </w:r>
    </w:p>
    <w:p w14:paraId="7835434D" w14:textId="77777777" w:rsidR="00FD048C" w:rsidRDefault="005B3E39">
      <w:pPr>
        <w:widowControl w:val="0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 момента заключения договора.</w:t>
      </w:r>
      <w:bookmarkStart w:id="0" w:name="_GoBack"/>
      <w:bookmarkEnd w:id="0"/>
    </w:p>
    <w:p w14:paraId="470A80F5" w14:textId="5BDD5A5D" w:rsidR="00FD048C" w:rsidRDefault="005B3E39">
      <w:pPr>
        <w:widowControl w:val="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окончание выполнения работ: 3</w:t>
      </w:r>
      <w:r w:rsidR="00491B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="00491BEC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.2026г.</w:t>
      </w:r>
    </w:p>
    <w:p w14:paraId="790208AC" w14:textId="77777777" w:rsidR="00FD048C" w:rsidRDefault="00FD048C">
      <w:pPr>
        <w:widowControl w:val="0"/>
        <w:jc w:val="both"/>
        <w:rPr>
          <w:b/>
          <w:color w:val="000000" w:themeColor="text1"/>
          <w:sz w:val="28"/>
          <w:szCs w:val="28"/>
        </w:rPr>
      </w:pPr>
    </w:p>
    <w:p w14:paraId="5E13AE3C" w14:textId="77777777" w:rsidR="00FD048C" w:rsidRDefault="005B3E3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 Требования к форме договора.</w:t>
      </w:r>
    </w:p>
    <w:p w14:paraId="34102876" w14:textId="77777777" w:rsidR="00FD048C" w:rsidRDefault="005B3E39">
      <w:pPr>
        <w:ind w:right="125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По результатам закупочной процедуры с победителем заключается 1 (один) договор.</w:t>
      </w:r>
    </w:p>
    <w:p w14:paraId="6AED0996" w14:textId="77777777" w:rsidR="00FD048C" w:rsidRDefault="005B3E39">
      <w:pPr>
        <w:ind w:right="125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заключения договора после проведения торгово-закупочных процедур использовать утвержденную типовую форму договора подряда на ремонт и техническое обслуживание оборудования согласно Приказу ПАО «МОЭСК» от 19.12.2019г. №1414 (Приложение №8).</w:t>
      </w:r>
    </w:p>
    <w:p w14:paraId="2295ADB7" w14:textId="77777777" w:rsidR="00FD048C" w:rsidRDefault="00FD048C">
      <w:pPr>
        <w:ind w:right="125" w:firstLine="708"/>
        <w:jc w:val="both"/>
        <w:rPr>
          <w:b/>
          <w:color w:val="000000" w:themeColor="text1"/>
          <w:sz w:val="28"/>
          <w:szCs w:val="28"/>
        </w:rPr>
      </w:pPr>
    </w:p>
    <w:p w14:paraId="63360072" w14:textId="77777777" w:rsidR="00FD048C" w:rsidRDefault="005B3E39">
      <w:pPr>
        <w:ind w:right="125" w:firstLine="708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Условия оплаты. </w:t>
      </w:r>
    </w:p>
    <w:p w14:paraId="29BC13BF" w14:textId="77777777" w:rsidR="00FD048C" w:rsidRDefault="005B3E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Авансирование не предусмотрено.</w:t>
      </w:r>
    </w:p>
    <w:p w14:paraId="2F4E434E" w14:textId="77777777" w:rsidR="00FD048C" w:rsidRDefault="005B3E3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Оплата производится по факту выполнения работ или отдельного этапа работ в течение 7 рабочих дней</w:t>
      </w:r>
      <w:r>
        <w:t xml:space="preserve"> </w:t>
      </w:r>
      <w:r>
        <w:rPr>
          <w:sz w:val="28"/>
          <w:szCs w:val="28"/>
        </w:rPr>
        <w:t>со дня подписания Сторонами акта сдачи-приемки выполненных работ по форме КС-2 и справок о стоимости выполненных работ и затрат по форме КС-3. Акты выполненных работ представляются по форме КС-2, КС 3 не позднее 25 числа текущего месяца.</w:t>
      </w:r>
    </w:p>
    <w:p w14:paraId="6878D4A9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К оплате принимаются акты выполненных работ по форме КС-2 и справки о стоимости выполненных работ и затрат по форме КС-3 при соблюдении следующих условий:</w:t>
      </w:r>
    </w:p>
    <w:p w14:paraId="7E83429D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Акты (КС-2) составляются за отчетный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14:paraId="0C9F7E78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-зона субъекта РФ: Московская область,</w:t>
      </w:r>
    </w:p>
    <w:p w14:paraId="5DC377C4" w14:textId="77777777" w:rsidR="00FD048C" w:rsidRDefault="005B3E39">
      <w:pPr>
        <w:tabs>
          <w:tab w:val="left" w:pos="9360"/>
        </w:tabs>
        <w:ind w:right="-36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с использованием сплит-формы Минстроя России для Московской области</w:t>
      </w:r>
    </w:p>
    <w:p w14:paraId="2ED6808E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действующих на момент выполнения работ, при соблюдении условий не превышения стоимости актируемых объемов стоимости аналогичных объемов работ по смете к Договору. </w:t>
      </w:r>
    </w:p>
    <w:p w14:paraId="760EA611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Приемка актов (КС-2) с индексами дефляторами не допускается.</w:t>
      </w:r>
    </w:p>
    <w:p w14:paraId="2B05DC41" w14:textId="77777777" w:rsidR="00FD048C" w:rsidRDefault="005B3E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Окончательный расчет стоимости ремонтных работ производится по актам приемки выполненных работ формы № КС-2 и КС-3 за фактически выполненные работы, но не превышающими сметную стоимость договора.</w:t>
      </w:r>
    </w:p>
    <w:p w14:paraId="1ADF69AE" w14:textId="77777777" w:rsidR="00FD048C" w:rsidRDefault="005B3E39">
      <w:pPr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- К оплате принимаются акты выполненных работ:</w:t>
      </w:r>
    </w:p>
    <w:p w14:paraId="07E5F74E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при условии подтверждения стоимости материалов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документе;</w:t>
      </w:r>
    </w:p>
    <w:p w14:paraId="1C4D1C91" w14:textId="77777777" w:rsidR="00FD048C" w:rsidRDefault="005B3E39">
      <w:pPr>
        <w:ind w:right="-1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при условии подтверждения фактических затрат доставки ремонтных бригад к объектам ремонта путевыми листами и иными документами, подтверждающими данные затраты.</w:t>
      </w:r>
    </w:p>
    <w:p w14:paraId="554DA71D" w14:textId="77777777" w:rsidR="00FD048C" w:rsidRDefault="00FD048C">
      <w:pPr>
        <w:ind w:right="-1" w:firstLine="709"/>
        <w:jc w:val="both"/>
        <w:rPr>
          <w:color w:val="000000" w:themeColor="text1"/>
          <w:sz w:val="28"/>
          <w:szCs w:val="28"/>
        </w:rPr>
      </w:pPr>
    </w:p>
    <w:p w14:paraId="1F10E578" w14:textId="77777777" w:rsidR="00FD048C" w:rsidRDefault="005B3E39">
      <w:pPr>
        <w:tabs>
          <w:tab w:val="num" w:pos="0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7. Контроль и приёмка из ремонта. </w:t>
      </w:r>
    </w:p>
    <w:p w14:paraId="663FEF94" w14:textId="77777777" w:rsidR="00FD048C" w:rsidRDefault="005B3E39">
      <w:pPr>
        <w:tabs>
          <w:tab w:val="num" w:pos="0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Руководители работ, участвующие в ремонте, совместно с Заказчиком осуществляют входной контроль качества применяемых материалов, проводят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14:paraId="3DD6E971" w14:textId="77777777" w:rsidR="00FD048C" w:rsidRDefault="005B3E3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Приёмка отремонтированного объекта из ремонта и оценка качества выполненных работ осуществляется в соответствии с пунктами Приказа Минэнерго России от 25.10.2017 № 1013 Правила организации технического обслуживания и ремонта объектов электроэнергетики.  Подрядчик обеспечивает своевременную сдачу по акту Заказчику скрываемых последующими работами или конструкциями ремонтных работ, акты освидетельствования скрытых работ подписываются в присутствии исполнителя ремонтных работ и представителя Заказчика, ответственного за эксплуатацию данного объекта.</w:t>
      </w:r>
    </w:p>
    <w:p w14:paraId="78C6645F" w14:textId="77777777" w:rsidR="00FD048C" w:rsidRDefault="005B3E39">
      <w:pPr>
        <w:tabs>
          <w:tab w:val="num" w:pos="0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6E0585EC" w14:textId="77777777" w:rsidR="00FD048C" w:rsidRDefault="005B3E39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8. Гарантии исполнителя ремонтных работ.</w:t>
      </w:r>
    </w:p>
    <w:p w14:paraId="64EFA0D9" w14:textId="77777777" w:rsidR="00FD048C" w:rsidRDefault="005B3E39">
      <w:pPr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Гарантийный срок эксплуатации объекта 12 месяцев с момента приёмки работ.</w:t>
      </w:r>
      <w:r>
        <w:rPr>
          <w:b/>
          <w:color w:val="000000" w:themeColor="text1"/>
          <w:sz w:val="28"/>
          <w:szCs w:val="28"/>
        </w:rPr>
        <w:t xml:space="preserve">   </w:t>
      </w:r>
    </w:p>
    <w:p w14:paraId="57FA973F" w14:textId="77777777" w:rsidR="00FD048C" w:rsidRDefault="00FD048C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14:paraId="438933BD" w14:textId="77777777" w:rsidR="00FD048C" w:rsidRDefault="005B3E39">
      <w:pPr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Приложения:</w:t>
      </w:r>
    </w:p>
    <w:p w14:paraId="0192AA10" w14:textId="77777777" w:rsidR="00FD048C" w:rsidRDefault="005B3E3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 № 1. Дефектные ведомости №</w:t>
      </w:r>
      <w:r>
        <w:rPr>
          <w:sz w:val="28"/>
          <w:szCs w:val="28"/>
        </w:rPr>
        <w:t>1-3.</w:t>
      </w:r>
    </w:p>
    <w:p w14:paraId="7292D777" w14:textId="77777777" w:rsidR="00FD048C" w:rsidRDefault="00FD048C">
      <w:pPr>
        <w:ind w:firstLine="567"/>
        <w:jc w:val="both"/>
        <w:rPr>
          <w:color w:val="000000" w:themeColor="text1"/>
          <w:sz w:val="28"/>
          <w:szCs w:val="28"/>
        </w:rPr>
      </w:pPr>
    </w:p>
    <w:p w14:paraId="0660DE28" w14:textId="77777777" w:rsidR="00FD048C" w:rsidRDefault="005B3E3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4D374F2A" w14:textId="77777777" w:rsidR="00FD048C" w:rsidRDefault="00FD048C">
      <w:pPr>
        <w:rPr>
          <w:color w:val="000000" w:themeColor="text1"/>
          <w:sz w:val="28"/>
          <w:szCs w:val="28"/>
        </w:rPr>
      </w:pPr>
    </w:p>
    <w:p w14:paraId="5DE4E5A8" w14:textId="77777777" w:rsidR="00FD048C" w:rsidRDefault="005B3E39">
      <w:pPr>
        <w:spacing w:after="2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СЭЗиС                              __________________ Ерш С.М.</w:t>
      </w:r>
    </w:p>
    <w:p w14:paraId="314B5159" w14:textId="77777777" w:rsidR="00FD048C" w:rsidRDefault="005B3E39">
      <w:pPr>
        <w:spacing w:after="2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службы ПС                     ___________________ Бесчаснов В.С.</w:t>
      </w:r>
    </w:p>
    <w:p w14:paraId="317C8BB7" w14:textId="77777777" w:rsidR="00FD048C" w:rsidRDefault="005B3E3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Заместитель главного инженера по </w:t>
      </w:r>
    </w:p>
    <w:p w14:paraId="1208B0CB" w14:textId="77777777" w:rsidR="00FD048C" w:rsidRDefault="005B3E3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организации ремонтов</w:t>
      </w:r>
    </w:p>
    <w:p w14:paraId="72730FE5" w14:textId="77777777" w:rsidR="00FD048C" w:rsidRDefault="005B3E39">
      <w:r>
        <w:rPr>
          <w:color w:val="000000" w:themeColor="text1"/>
          <w:sz w:val="28"/>
          <w:szCs w:val="28"/>
        </w:rPr>
        <w:t xml:space="preserve"> - начальник СППТОиР.................... ___________________Казаков Н.С.</w:t>
      </w:r>
    </w:p>
    <w:p w14:paraId="4335AE37" w14:textId="77777777" w:rsidR="00FD048C" w:rsidRDefault="00FD048C">
      <w:pPr>
        <w:rPr>
          <w:color w:val="000000" w:themeColor="text1"/>
          <w:sz w:val="28"/>
          <w:szCs w:val="28"/>
        </w:rPr>
      </w:pPr>
    </w:p>
    <w:p w14:paraId="7D694EB7" w14:textId="77777777" w:rsidR="00FD048C" w:rsidRDefault="005B3E39">
      <w:pPr>
        <w:spacing w:after="2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Начальник ПЭО                                  ___________________Кугот Т.В. </w:t>
      </w:r>
    </w:p>
    <w:p w14:paraId="4BFDC169" w14:textId="77777777" w:rsidR="00FD048C" w:rsidRDefault="00FD048C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sectPr w:rsidR="00FD048C">
      <w:pgSz w:w="11907" w:h="16840"/>
      <w:pgMar w:top="993" w:right="1007" w:bottom="993" w:left="1200" w:header="720" w:footer="720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F3674A"/>
  <w16cid:commentId w16cid:paraId="00000002" w16cid:durableId="34E5C294"/>
  <w16cid:commentId w16cid:paraId="00000003" w16cid:durableId="427FDD28"/>
  <w16cid:commentId w16cid:paraId="00000004" w16cid:durableId="1E8F85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DDEB9" w14:textId="77777777" w:rsidR="00FD048C" w:rsidRDefault="005B3E39">
      <w:r>
        <w:separator/>
      </w:r>
    </w:p>
  </w:endnote>
  <w:endnote w:type="continuationSeparator" w:id="0">
    <w:p w14:paraId="2D465020" w14:textId="77777777" w:rsidR="00FD048C" w:rsidRDefault="005B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29468" w14:textId="77777777" w:rsidR="00FD048C" w:rsidRDefault="005B3E39">
      <w:r>
        <w:separator/>
      </w:r>
    </w:p>
  </w:footnote>
  <w:footnote w:type="continuationSeparator" w:id="0">
    <w:p w14:paraId="00443B91" w14:textId="77777777" w:rsidR="00FD048C" w:rsidRDefault="005B3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54DA"/>
    <w:multiLevelType w:val="hybridMultilevel"/>
    <w:tmpl w:val="0D9A4C9C"/>
    <w:lvl w:ilvl="0" w:tplc="85849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20B6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0806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F0B5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39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A013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1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0038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D4F8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5523D7"/>
    <w:multiLevelType w:val="hybridMultilevel"/>
    <w:tmpl w:val="2EA6DBB0"/>
    <w:lvl w:ilvl="0" w:tplc="803C1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16C56A2">
      <w:start w:val="1"/>
      <w:numFmt w:val="lowerLetter"/>
      <w:lvlText w:val="%2."/>
      <w:lvlJc w:val="left"/>
      <w:pPr>
        <w:ind w:left="1440" w:hanging="360"/>
      </w:pPr>
    </w:lvl>
    <w:lvl w:ilvl="2" w:tplc="F8A454D2">
      <w:start w:val="1"/>
      <w:numFmt w:val="lowerRoman"/>
      <w:lvlText w:val="%3."/>
      <w:lvlJc w:val="right"/>
      <w:pPr>
        <w:ind w:left="2160" w:hanging="180"/>
      </w:pPr>
    </w:lvl>
    <w:lvl w:ilvl="3" w:tplc="540A90F8">
      <w:start w:val="1"/>
      <w:numFmt w:val="decimal"/>
      <w:lvlText w:val="%4."/>
      <w:lvlJc w:val="left"/>
      <w:pPr>
        <w:ind w:left="2880" w:hanging="360"/>
      </w:pPr>
    </w:lvl>
    <w:lvl w:ilvl="4" w:tplc="130C3A0A">
      <w:start w:val="1"/>
      <w:numFmt w:val="lowerLetter"/>
      <w:lvlText w:val="%5."/>
      <w:lvlJc w:val="left"/>
      <w:pPr>
        <w:ind w:left="3600" w:hanging="360"/>
      </w:pPr>
    </w:lvl>
    <w:lvl w:ilvl="5" w:tplc="16DC68CA">
      <w:start w:val="1"/>
      <w:numFmt w:val="lowerRoman"/>
      <w:lvlText w:val="%6."/>
      <w:lvlJc w:val="right"/>
      <w:pPr>
        <w:ind w:left="4320" w:hanging="180"/>
      </w:pPr>
    </w:lvl>
    <w:lvl w:ilvl="6" w:tplc="AC386A14">
      <w:start w:val="1"/>
      <w:numFmt w:val="decimal"/>
      <w:lvlText w:val="%7."/>
      <w:lvlJc w:val="left"/>
      <w:pPr>
        <w:ind w:left="5040" w:hanging="360"/>
      </w:pPr>
    </w:lvl>
    <w:lvl w:ilvl="7" w:tplc="F3D4CFDE">
      <w:start w:val="1"/>
      <w:numFmt w:val="lowerLetter"/>
      <w:lvlText w:val="%8."/>
      <w:lvlJc w:val="left"/>
      <w:pPr>
        <w:ind w:left="5760" w:hanging="360"/>
      </w:pPr>
    </w:lvl>
    <w:lvl w:ilvl="8" w:tplc="1CB497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546"/>
    <w:multiLevelType w:val="hybridMultilevel"/>
    <w:tmpl w:val="C8B45CFE"/>
    <w:lvl w:ilvl="0" w:tplc="D3D2DFA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73C49B2">
      <w:start w:val="1"/>
      <w:numFmt w:val="lowerLetter"/>
      <w:lvlText w:val="%2."/>
      <w:lvlJc w:val="left"/>
      <w:pPr>
        <w:ind w:left="2007" w:hanging="360"/>
      </w:pPr>
    </w:lvl>
    <w:lvl w:ilvl="2" w:tplc="A3FA1CC6">
      <w:start w:val="1"/>
      <w:numFmt w:val="lowerRoman"/>
      <w:lvlText w:val="%3."/>
      <w:lvlJc w:val="right"/>
      <w:pPr>
        <w:ind w:left="2727" w:hanging="180"/>
      </w:pPr>
    </w:lvl>
    <w:lvl w:ilvl="3" w:tplc="3B243C70">
      <w:start w:val="1"/>
      <w:numFmt w:val="decimal"/>
      <w:lvlText w:val="%4."/>
      <w:lvlJc w:val="left"/>
      <w:pPr>
        <w:ind w:left="3447" w:hanging="360"/>
      </w:pPr>
    </w:lvl>
    <w:lvl w:ilvl="4" w:tplc="0ADE53DE">
      <w:start w:val="1"/>
      <w:numFmt w:val="lowerLetter"/>
      <w:lvlText w:val="%5."/>
      <w:lvlJc w:val="left"/>
      <w:pPr>
        <w:ind w:left="4167" w:hanging="360"/>
      </w:pPr>
    </w:lvl>
    <w:lvl w:ilvl="5" w:tplc="DC007128">
      <w:start w:val="1"/>
      <w:numFmt w:val="lowerRoman"/>
      <w:lvlText w:val="%6."/>
      <w:lvlJc w:val="right"/>
      <w:pPr>
        <w:ind w:left="4887" w:hanging="180"/>
      </w:pPr>
    </w:lvl>
    <w:lvl w:ilvl="6" w:tplc="6CDA509E">
      <w:start w:val="1"/>
      <w:numFmt w:val="decimal"/>
      <w:lvlText w:val="%7."/>
      <w:lvlJc w:val="left"/>
      <w:pPr>
        <w:ind w:left="5607" w:hanging="360"/>
      </w:pPr>
    </w:lvl>
    <w:lvl w:ilvl="7" w:tplc="2D36C396">
      <w:start w:val="1"/>
      <w:numFmt w:val="lowerLetter"/>
      <w:lvlText w:val="%8."/>
      <w:lvlJc w:val="left"/>
      <w:pPr>
        <w:ind w:left="6327" w:hanging="360"/>
      </w:pPr>
    </w:lvl>
    <w:lvl w:ilvl="8" w:tplc="EA3E0644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5A5281"/>
    <w:multiLevelType w:val="hybridMultilevel"/>
    <w:tmpl w:val="B29EC6A2"/>
    <w:lvl w:ilvl="0" w:tplc="E7DA5A2C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BE28923A">
      <w:start w:val="1"/>
      <w:numFmt w:val="bullet"/>
      <w:lvlText w:val="o"/>
      <w:lvlJc w:val="left"/>
      <w:pPr>
        <w:ind w:left="-1046" w:hanging="360"/>
      </w:pPr>
      <w:rPr>
        <w:rFonts w:ascii="Courier New" w:hAnsi="Courier New" w:cs="Courier New" w:hint="default"/>
      </w:rPr>
    </w:lvl>
    <w:lvl w:ilvl="2" w:tplc="464A04E8">
      <w:start w:val="1"/>
      <w:numFmt w:val="bullet"/>
      <w:lvlText w:val=""/>
      <w:lvlJc w:val="left"/>
      <w:pPr>
        <w:ind w:left="-326" w:hanging="360"/>
      </w:pPr>
      <w:rPr>
        <w:rFonts w:ascii="Wingdings" w:hAnsi="Wingdings" w:hint="default"/>
      </w:rPr>
    </w:lvl>
    <w:lvl w:ilvl="3" w:tplc="93467D82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4" w:tplc="792E3AB8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5" w:tplc="11AEAD2E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6" w:tplc="4E5CAE92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7" w:tplc="A91C4BCC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8" w:tplc="51FCC1AC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</w:abstractNum>
  <w:abstractNum w:abstractNumId="4" w15:restartNumberingAfterBreak="0">
    <w:nsid w:val="136E1BD4"/>
    <w:multiLevelType w:val="hybridMultilevel"/>
    <w:tmpl w:val="8E98CCE2"/>
    <w:lvl w:ilvl="0" w:tplc="974EF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A052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A6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2A2B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82D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AE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12D2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B06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50BB0"/>
    <w:multiLevelType w:val="hybridMultilevel"/>
    <w:tmpl w:val="27B00F58"/>
    <w:lvl w:ilvl="0" w:tplc="EB5A58CC">
      <w:start w:val="1"/>
      <w:numFmt w:val="bullet"/>
      <w:lvlText w:val="–"/>
      <w:lvlJc w:val="left"/>
      <w:pPr>
        <w:ind w:left="1135" w:hanging="360"/>
      </w:pPr>
      <w:rPr>
        <w:rFonts w:ascii="Arial" w:eastAsia="Arial" w:hAnsi="Arial" w:cs="Arial" w:hint="default"/>
      </w:rPr>
    </w:lvl>
    <w:lvl w:ilvl="1" w:tplc="F4E0EE84">
      <w:start w:val="1"/>
      <w:numFmt w:val="bullet"/>
      <w:lvlText w:val="o"/>
      <w:lvlJc w:val="left"/>
      <w:pPr>
        <w:ind w:left="1855" w:hanging="360"/>
      </w:pPr>
      <w:rPr>
        <w:rFonts w:ascii="Courier New" w:eastAsia="Courier New" w:hAnsi="Courier New" w:cs="Courier New" w:hint="default"/>
      </w:rPr>
    </w:lvl>
    <w:lvl w:ilvl="2" w:tplc="F8D0D08A">
      <w:start w:val="1"/>
      <w:numFmt w:val="bullet"/>
      <w:lvlText w:val="§"/>
      <w:lvlJc w:val="left"/>
      <w:pPr>
        <w:ind w:left="2575" w:hanging="360"/>
      </w:pPr>
      <w:rPr>
        <w:rFonts w:ascii="Wingdings" w:eastAsia="Wingdings" w:hAnsi="Wingdings" w:cs="Wingdings" w:hint="default"/>
      </w:rPr>
    </w:lvl>
    <w:lvl w:ilvl="3" w:tplc="D98680F2">
      <w:start w:val="1"/>
      <w:numFmt w:val="bullet"/>
      <w:lvlText w:val="·"/>
      <w:lvlJc w:val="left"/>
      <w:pPr>
        <w:ind w:left="3295" w:hanging="360"/>
      </w:pPr>
      <w:rPr>
        <w:rFonts w:ascii="Symbol" w:eastAsia="Symbol" w:hAnsi="Symbol" w:cs="Symbol" w:hint="default"/>
      </w:rPr>
    </w:lvl>
    <w:lvl w:ilvl="4" w:tplc="653E87BC">
      <w:start w:val="1"/>
      <w:numFmt w:val="bullet"/>
      <w:lvlText w:val="o"/>
      <w:lvlJc w:val="left"/>
      <w:pPr>
        <w:ind w:left="4015" w:hanging="360"/>
      </w:pPr>
      <w:rPr>
        <w:rFonts w:ascii="Courier New" w:eastAsia="Courier New" w:hAnsi="Courier New" w:cs="Courier New" w:hint="default"/>
      </w:rPr>
    </w:lvl>
    <w:lvl w:ilvl="5" w:tplc="D808277C">
      <w:start w:val="1"/>
      <w:numFmt w:val="bullet"/>
      <w:lvlText w:val="§"/>
      <w:lvlJc w:val="left"/>
      <w:pPr>
        <w:ind w:left="4735" w:hanging="360"/>
      </w:pPr>
      <w:rPr>
        <w:rFonts w:ascii="Wingdings" w:eastAsia="Wingdings" w:hAnsi="Wingdings" w:cs="Wingdings" w:hint="default"/>
      </w:rPr>
    </w:lvl>
    <w:lvl w:ilvl="6" w:tplc="29587B96">
      <w:start w:val="1"/>
      <w:numFmt w:val="bullet"/>
      <w:lvlText w:val="·"/>
      <w:lvlJc w:val="left"/>
      <w:pPr>
        <w:ind w:left="5455" w:hanging="360"/>
      </w:pPr>
      <w:rPr>
        <w:rFonts w:ascii="Symbol" w:eastAsia="Symbol" w:hAnsi="Symbol" w:cs="Symbol" w:hint="default"/>
      </w:rPr>
    </w:lvl>
    <w:lvl w:ilvl="7" w:tplc="8BA260EC">
      <w:start w:val="1"/>
      <w:numFmt w:val="bullet"/>
      <w:lvlText w:val="o"/>
      <w:lvlJc w:val="left"/>
      <w:pPr>
        <w:ind w:left="6175" w:hanging="360"/>
      </w:pPr>
      <w:rPr>
        <w:rFonts w:ascii="Courier New" w:eastAsia="Courier New" w:hAnsi="Courier New" w:cs="Courier New" w:hint="default"/>
      </w:rPr>
    </w:lvl>
    <w:lvl w:ilvl="8" w:tplc="CC80054E">
      <w:start w:val="1"/>
      <w:numFmt w:val="bullet"/>
      <w:lvlText w:val="§"/>
      <w:lvlJc w:val="left"/>
      <w:pPr>
        <w:ind w:left="6895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B1A4A7C"/>
    <w:multiLevelType w:val="multilevel"/>
    <w:tmpl w:val="FAF669D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7" w15:restartNumberingAfterBreak="0">
    <w:nsid w:val="3B38140B"/>
    <w:multiLevelType w:val="hybridMultilevel"/>
    <w:tmpl w:val="52806F20"/>
    <w:lvl w:ilvl="0" w:tplc="B5841A5C">
      <w:start w:val="27"/>
      <w:numFmt w:val="decimal"/>
      <w:lvlText w:val="(%1"/>
      <w:lvlJc w:val="left"/>
      <w:pPr>
        <w:ind w:left="720" w:hanging="360"/>
      </w:pPr>
      <w:rPr>
        <w:rFonts w:hint="default"/>
        <w:color w:val="FF0000"/>
      </w:rPr>
    </w:lvl>
    <w:lvl w:ilvl="1" w:tplc="9DDA5656">
      <w:start w:val="1"/>
      <w:numFmt w:val="lowerLetter"/>
      <w:lvlText w:val="%2."/>
      <w:lvlJc w:val="left"/>
      <w:pPr>
        <w:ind w:left="1440" w:hanging="360"/>
      </w:pPr>
    </w:lvl>
    <w:lvl w:ilvl="2" w:tplc="A4D2A878">
      <w:start w:val="1"/>
      <w:numFmt w:val="lowerRoman"/>
      <w:lvlText w:val="%3."/>
      <w:lvlJc w:val="right"/>
      <w:pPr>
        <w:ind w:left="2160" w:hanging="180"/>
      </w:pPr>
    </w:lvl>
    <w:lvl w:ilvl="3" w:tplc="AC746E7E">
      <w:start w:val="1"/>
      <w:numFmt w:val="decimal"/>
      <w:lvlText w:val="%4."/>
      <w:lvlJc w:val="left"/>
      <w:pPr>
        <w:ind w:left="2880" w:hanging="360"/>
      </w:pPr>
    </w:lvl>
    <w:lvl w:ilvl="4" w:tplc="5F605BC4">
      <w:start w:val="1"/>
      <w:numFmt w:val="lowerLetter"/>
      <w:lvlText w:val="%5."/>
      <w:lvlJc w:val="left"/>
      <w:pPr>
        <w:ind w:left="3600" w:hanging="360"/>
      </w:pPr>
    </w:lvl>
    <w:lvl w:ilvl="5" w:tplc="EEB08D84">
      <w:start w:val="1"/>
      <w:numFmt w:val="lowerRoman"/>
      <w:lvlText w:val="%6."/>
      <w:lvlJc w:val="right"/>
      <w:pPr>
        <w:ind w:left="4320" w:hanging="180"/>
      </w:pPr>
    </w:lvl>
    <w:lvl w:ilvl="6" w:tplc="66E84AD6">
      <w:start w:val="1"/>
      <w:numFmt w:val="decimal"/>
      <w:lvlText w:val="%7."/>
      <w:lvlJc w:val="left"/>
      <w:pPr>
        <w:ind w:left="5040" w:hanging="360"/>
      </w:pPr>
    </w:lvl>
    <w:lvl w:ilvl="7" w:tplc="81CE2718">
      <w:start w:val="1"/>
      <w:numFmt w:val="lowerLetter"/>
      <w:lvlText w:val="%8."/>
      <w:lvlJc w:val="left"/>
      <w:pPr>
        <w:ind w:left="5760" w:hanging="360"/>
      </w:pPr>
    </w:lvl>
    <w:lvl w:ilvl="8" w:tplc="419C56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44B3B"/>
    <w:multiLevelType w:val="hybridMultilevel"/>
    <w:tmpl w:val="A002F1AA"/>
    <w:lvl w:ilvl="0" w:tplc="C41A8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D00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692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5C8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1C46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307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288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DED4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F027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84C21"/>
    <w:multiLevelType w:val="hybridMultilevel"/>
    <w:tmpl w:val="B98E302C"/>
    <w:lvl w:ilvl="0" w:tplc="7FD47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26C54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7840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64A7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AB6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1224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72B6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A08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94F8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233AAA"/>
    <w:multiLevelType w:val="hybridMultilevel"/>
    <w:tmpl w:val="ABF43722"/>
    <w:lvl w:ilvl="0" w:tplc="70D86F56">
      <w:start w:val="1"/>
      <w:numFmt w:val="bullet"/>
      <w:lvlText w:val="–"/>
      <w:lvlJc w:val="left"/>
      <w:pPr>
        <w:ind w:left="1135" w:hanging="360"/>
      </w:pPr>
      <w:rPr>
        <w:rFonts w:ascii="Arial" w:eastAsia="Arial" w:hAnsi="Arial" w:cs="Arial" w:hint="default"/>
      </w:rPr>
    </w:lvl>
    <w:lvl w:ilvl="1" w:tplc="BD74C2E0">
      <w:start w:val="1"/>
      <w:numFmt w:val="bullet"/>
      <w:lvlText w:val="o"/>
      <w:lvlJc w:val="left"/>
      <w:pPr>
        <w:ind w:left="1855" w:hanging="360"/>
      </w:pPr>
      <w:rPr>
        <w:rFonts w:ascii="Courier New" w:eastAsia="Courier New" w:hAnsi="Courier New" w:cs="Courier New" w:hint="default"/>
      </w:rPr>
    </w:lvl>
    <w:lvl w:ilvl="2" w:tplc="9120057A">
      <w:start w:val="1"/>
      <w:numFmt w:val="bullet"/>
      <w:lvlText w:val="§"/>
      <w:lvlJc w:val="left"/>
      <w:pPr>
        <w:ind w:left="2575" w:hanging="360"/>
      </w:pPr>
      <w:rPr>
        <w:rFonts w:ascii="Wingdings" w:eastAsia="Wingdings" w:hAnsi="Wingdings" w:cs="Wingdings" w:hint="default"/>
      </w:rPr>
    </w:lvl>
    <w:lvl w:ilvl="3" w:tplc="76DC4760">
      <w:start w:val="1"/>
      <w:numFmt w:val="bullet"/>
      <w:lvlText w:val="·"/>
      <w:lvlJc w:val="left"/>
      <w:pPr>
        <w:ind w:left="3295" w:hanging="360"/>
      </w:pPr>
      <w:rPr>
        <w:rFonts w:ascii="Symbol" w:eastAsia="Symbol" w:hAnsi="Symbol" w:cs="Symbol" w:hint="default"/>
      </w:rPr>
    </w:lvl>
    <w:lvl w:ilvl="4" w:tplc="9058E1A8">
      <w:start w:val="1"/>
      <w:numFmt w:val="bullet"/>
      <w:lvlText w:val="o"/>
      <w:lvlJc w:val="left"/>
      <w:pPr>
        <w:ind w:left="4015" w:hanging="360"/>
      </w:pPr>
      <w:rPr>
        <w:rFonts w:ascii="Courier New" w:eastAsia="Courier New" w:hAnsi="Courier New" w:cs="Courier New" w:hint="default"/>
      </w:rPr>
    </w:lvl>
    <w:lvl w:ilvl="5" w:tplc="7C903C80">
      <w:start w:val="1"/>
      <w:numFmt w:val="bullet"/>
      <w:lvlText w:val="§"/>
      <w:lvlJc w:val="left"/>
      <w:pPr>
        <w:ind w:left="4735" w:hanging="360"/>
      </w:pPr>
      <w:rPr>
        <w:rFonts w:ascii="Wingdings" w:eastAsia="Wingdings" w:hAnsi="Wingdings" w:cs="Wingdings" w:hint="default"/>
      </w:rPr>
    </w:lvl>
    <w:lvl w:ilvl="6" w:tplc="48D81B70">
      <w:start w:val="1"/>
      <w:numFmt w:val="bullet"/>
      <w:lvlText w:val="·"/>
      <w:lvlJc w:val="left"/>
      <w:pPr>
        <w:ind w:left="5455" w:hanging="360"/>
      </w:pPr>
      <w:rPr>
        <w:rFonts w:ascii="Symbol" w:eastAsia="Symbol" w:hAnsi="Symbol" w:cs="Symbol" w:hint="default"/>
      </w:rPr>
    </w:lvl>
    <w:lvl w:ilvl="7" w:tplc="216ED320">
      <w:start w:val="1"/>
      <w:numFmt w:val="bullet"/>
      <w:lvlText w:val="o"/>
      <w:lvlJc w:val="left"/>
      <w:pPr>
        <w:ind w:left="6175" w:hanging="360"/>
      </w:pPr>
      <w:rPr>
        <w:rFonts w:ascii="Courier New" w:eastAsia="Courier New" w:hAnsi="Courier New" w:cs="Courier New" w:hint="default"/>
      </w:rPr>
    </w:lvl>
    <w:lvl w:ilvl="8" w:tplc="15B87A90">
      <w:start w:val="1"/>
      <w:numFmt w:val="bullet"/>
      <w:lvlText w:val="§"/>
      <w:lvlJc w:val="left"/>
      <w:pPr>
        <w:ind w:left="6895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AF9748C"/>
    <w:multiLevelType w:val="hybridMultilevel"/>
    <w:tmpl w:val="D52ED7E6"/>
    <w:lvl w:ilvl="0" w:tplc="4A26E80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F24E3F74">
      <w:start w:val="1"/>
      <w:numFmt w:val="lowerLetter"/>
      <w:lvlText w:val="%2."/>
      <w:lvlJc w:val="left"/>
      <w:pPr>
        <w:ind w:left="1620" w:hanging="360"/>
      </w:pPr>
    </w:lvl>
    <w:lvl w:ilvl="2" w:tplc="C4B4DBB6">
      <w:start w:val="1"/>
      <w:numFmt w:val="lowerRoman"/>
      <w:lvlText w:val="%3."/>
      <w:lvlJc w:val="right"/>
      <w:pPr>
        <w:ind w:left="2340" w:hanging="180"/>
      </w:pPr>
    </w:lvl>
    <w:lvl w:ilvl="3" w:tplc="4E4E6B72">
      <w:start w:val="1"/>
      <w:numFmt w:val="decimal"/>
      <w:lvlText w:val="%4."/>
      <w:lvlJc w:val="left"/>
      <w:pPr>
        <w:ind w:left="3060" w:hanging="360"/>
      </w:pPr>
    </w:lvl>
    <w:lvl w:ilvl="4" w:tplc="5EFA1594">
      <w:start w:val="1"/>
      <w:numFmt w:val="lowerLetter"/>
      <w:lvlText w:val="%5."/>
      <w:lvlJc w:val="left"/>
      <w:pPr>
        <w:ind w:left="3780" w:hanging="360"/>
      </w:pPr>
    </w:lvl>
    <w:lvl w:ilvl="5" w:tplc="25D8134C">
      <w:start w:val="1"/>
      <w:numFmt w:val="lowerRoman"/>
      <w:lvlText w:val="%6."/>
      <w:lvlJc w:val="right"/>
      <w:pPr>
        <w:ind w:left="4500" w:hanging="180"/>
      </w:pPr>
    </w:lvl>
    <w:lvl w:ilvl="6" w:tplc="CDA26D86">
      <w:start w:val="1"/>
      <w:numFmt w:val="decimal"/>
      <w:lvlText w:val="%7."/>
      <w:lvlJc w:val="left"/>
      <w:pPr>
        <w:ind w:left="5220" w:hanging="360"/>
      </w:pPr>
    </w:lvl>
    <w:lvl w:ilvl="7" w:tplc="15825CC0">
      <w:start w:val="1"/>
      <w:numFmt w:val="lowerLetter"/>
      <w:lvlText w:val="%8."/>
      <w:lvlJc w:val="left"/>
      <w:pPr>
        <w:ind w:left="5940" w:hanging="360"/>
      </w:pPr>
    </w:lvl>
    <w:lvl w:ilvl="8" w:tplc="B7E095B4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DE90215"/>
    <w:multiLevelType w:val="hybridMultilevel"/>
    <w:tmpl w:val="0332CEF2"/>
    <w:lvl w:ilvl="0" w:tplc="CFEC0A78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/>
      </w:rPr>
    </w:lvl>
    <w:lvl w:ilvl="1" w:tplc="DD04758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6E809D20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7DD4A15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0DFCE39C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908A7FAE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DC089B0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38DA8F1E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D3889A9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77C3F9D"/>
    <w:multiLevelType w:val="hybridMultilevel"/>
    <w:tmpl w:val="5894924E"/>
    <w:lvl w:ilvl="0" w:tplc="5DB2DF2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/>
      </w:rPr>
    </w:lvl>
    <w:lvl w:ilvl="1" w:tplc="B43E2F24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C9229D5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8D207230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380C7E38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92380CF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217C0124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3F4006E8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C27F3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A22434C"/>
    <w:multiLevelType w:val="multilevel"/>
    <w:tmpl w:val="AD4023B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11"/>
  </w:num>
  <w:num w:numId="8">
    <w:abstractNumId w:val="6"/>
  </w:num>
  <w:num w:numId="9">
    <w:abstractNumId w:val="3"/>
  </w:num>
  <w:num w:numId="10">
    <w:abstractNumId w:val="4"/>
  </w:num>
  <w:num w:numId="11">
    <w:abstractNumId w:val="14"/>
  </w:num>
  <w:num w:numId="12">
    <w:abstractNumId w:val="5"/>
  </w:num>
  <w:num w:numId="13">
    <w:abstractNumId w:val="10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8C"/>
    <w:rsid w:val="00491BEC"/>
    <w:rsid w:val="005B3E39"/>
    <w:rsid w:val="00FD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90BB"/>
  <w15:docId w15:val="{D8E2E779-AA6D-4A59-851D-83A9878A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rPr>
      <w:szCs w:val="20"/>
    </w:r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footnote text"/>
    <w:basedOn w:val="a"/>
    <w:link w:val="afa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Pr>
      <w:rFonts w:ascii="Calibri" w:eastAsia="Calibri" w:hAnsi="Calibri"/>
    </w:rPr>
  </w:style>
  <w:style w:type="character" w:styleId="afb">
    <w:name w:val="footnote reference"/>
    <w:basedOn w:val="a0"/>
    <w:uiPriority w:val="99"/>
    <w:unhideWhenUsed/>
    <w:rPr>
      <w:vertAlign w:val="superscript"/>
    </w:rPr>
  </w:style>
  <w:style w:type="paragraph" w:styleId="afc">
    <w:name w:val="Plain Text"/>
    <w:basedOn w:val="a"/>
    <w:link w:val="afd"/>
    <w:uiPriority w:val="99"/>
    <w:unhideWhenUsed/>
    <w:rPr>
      <w:rFonts w:ascii="Calibri" w:hAnsi="Calibri"/>
      <w:sz w:val="22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Pr>
      <w:rFonts w:ascii="Calibri" w:hAnsi="Calibri"/>
      <w:sz w:val="22"/>
      <w:szCs w:val="21"/>
      <w:lang w:eastAsia="en-US"/>
    </w:rPr>
  </w:style>
  <w:style w:type="character" w:styleId="afe">
    <w:name w:val="annotation reference"/>
    <w:basedOn w:val="a0"/>
    <w:rPr>
      <w:sz w:val="16"/>
      <w:szCs w:val="16"/>
    </w:rPr>
  </w:style>
  <w:style w:type="paragraph" w:styleId="aff">
    <w:name w:val="annotation text"/>
    <w:basedOn w:val="a"/>
    <w:link w:val="aff0"/>
    <w:rPr>
      <w:sz w:val="20"/>
      <w:szCs w:val="20"/>
    </w:rPr>
  </w:style>
  <w:style w:type="character" w:customStyle="1" w:styleId="aff0">
    <w:name w:val="Текст примечания Знак"/>
    <w:basedOn w:val="a0"/>
    <w:link w:val="aff"/>
  </w:style>
  <w:style w:type="paragraph" w:styleId="aff1">
    <w:name w:val="annotation subject"/>
    <w:basedOn w:val="aff"/>
    <w:next w:val="aff"/>
    <w:link w:val="aff2"/>
    <w:rPr>
      <w:b/>
      <w:bCs/>
    </w:rPr>
  </w:style>
  <w:style w:type="character" w:customStyle="1" w:styleId="aff2">
    <w:name w:val="Тема примечания Знак"/>
    <w:basedOn w:val="aff0"/>
    <w:link w:val="aff1"/>
    <w:rPr>
      <w:b/>
      <w:bCs/>
    </w:rPr>
  </w:style>
  <w:style w:type="paragraph" w:styleId="aff3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DC412-6073-4AAB-924E-8DB8A1426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2888</Words>
  <Characters>16462</Characters>
  <Application>Microsoft Office Word</Application>
  <DocSecurity>0</DocSecurity>
  <Lines>137</Lines>
  <Paragraphs>38</Paragraphs>
  <ScaleCrop>false</ScaleCrop>
  <Company>PECM</Company>
  <LinksUpToDate>false</LinksUpToDate>
  <CharactersWithSpaces>19312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Управления по</dc:title>
  <dc:creator>Кузьмин</dc:creator>
  <cp:lastModifiedBy>Саарик Александра Юрьевна</cp:lastModifiedBy>
  <cp:revision>6</cp:revision>
  <dcterms:created xsi:type="dcterms:W3CDTF">2026-02-16T12:04:00Z</dcterms:created>
  <dcterms:modified xsi:type="dcterms:W3CDTF">2026-02-17T05:39:00Z</dcterms:modified>
</cp:coreProperties>
</file>